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90243" w14:textId="71B9E1BA" w:rsidR="0046129A" w:rsidRPr="00E32039" w:rsidRDefault="0046129A" w:rsidP="00F67C5E">
      <w:pPr>
        <w:jc w:val="center"/>
        <w:rPr>
          <w:rFonts w:ascii="Century Gothic" w:hAnsi="Century Gothic"/>
          <w:spacing w:val="22"/>
          <w:sz w:val="28"/>
          <w:szCs w:val="36"/>
        </w:rPr>
      </w:pPr>
      <w:bookmarkStart w:id="0" w:name="_GoBack"/>
      <w:bookmarkEnd w:id="0"/>
      <w:r w:rsidRPr="00E32039">
        <w:rPr>
          <w:rFonts w:ascii="Century Gothic" w:hAnsi="Century Gothic"/>
          <w:noProof/>
          <w:spacing w:val="22"/>
          <w:sz w:val="28"/>
          <w:szCs w:val="36"/>
          <w:lang w:val="en-US"/>
        </w:rPr>
        <w:drawing>
          <wp:anchor distT="0" distB="0" distL="114300" distR="114300" simplePos="0" relativeHeight="251663360" behindDoc="0" locked="0" layoutInCell="1" allowOverlap="1" wp14:anchorId="53C902E0" wp14:editId="53C902E1">
            <wp:simplePos x="0" y="0"/>
            <wp:positionH relativeFrom="column">
              <wp:posOffset>-63500</wp:posOffset>
            </wp:positionH>
            <wp:positionV relativeFrom="paragraph">
              <wp:posOffset>-191770</wp:posOffset>
            </wp:positionV>
            <wp:extent cx="5742305" cy="76644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42305" cy="766445"/>
                    </a:xfrm>
                    <a:prstGeom prst="rect">
                      <a:avLst/>
                    </a:prstGeom>
                  </pic:spPr>
                </pic:pic>
              </a:graphicData>
            </a:graphic>
            <wp14:sizeRelH relativeFrom="page">
              <wp14:pctWidth>0</wp14:pctWidth>
            </wp14:sizeRelH>
            <wp14:sizeRelV relativeFrom="page">
              <wp14:pctHeight>0</wp14:pctHeight>
            </wp14:sizeRelV>
          </wp:anchor>
        </w:drawing>
      </w:r>
      <w:r w:rsidR="00E32039" w:rsidRPr="00E32039">
        <w:rPr>
          <w:rFonts w:ascii="Century Gothic" w:hAnsi="Century Gothic"/>
          <w:spacing w:val="22"/>
          <w:sz w:val="28"/>
          <w:szCs w:val="36"/>
        </w:rPr>
        <w:t>División de Normativa y Autorizaciones</w:t>
      </w:r>
      <w:r w:rsidR="0038287E" w:rsidRPr="00E32039">
        <w:rPr>
          <w:rFonts w:ascii="Century Gothic" w:hAnsi="Century Gothic"/>
          <w:spacing w:val="22"/>
          <w:sz w:val="28"/>
          <w:szCs w:val="36"/>
        </w:rPr>
        <w:t xml:space="preserve"> </w:t>
      </w:r>
    </w:p>
    <w:p w14:paraId="53C90244" w14:textId="77777777" w:rsidR="0046129A" w:rsidRPr="00591A84" w:rsidRDefault="00113C22" w:rsidP="00F67C5E">
      <w:pPr>
        <w:jc w:val="center"/>
        <w:rPr>
          <w:rFonts w:asciiTheme="majorHAnsi" w:hAnsiTheme="majorHAnsi"/>
          <w:b/>
          <w:smallCaps/>
          <w:color w:val="7F7F7F" w:themeColor="text1" w:themeTint="80"/>
          <w:sz w:val="28"/>
          <w:szCs w:val="28"/>
        </w:rPr>
      </w:pPr>
      <w:r w:rsidRPr="00591A84">
        <w:rPr>
          <w:rFonts w:asciiTheme="majorHAnsi" w:hAnsiTheme="majorHAnsi"/>
          <w:b/>
          <w:noProof/>
          <w:lang w:val="en-US"/>
        </w:rPr>
        <mc:AlternateContent>
          <mc:Choice Requires="wps">
            <w:drawing>
              <wp:anchor distT="0" distB="0" distL="114300" distR="114300" simplePos="0" relativeHeight="251664384" behindDoc="0" locked="0" layoutInCell="1" allowOverlap="1" wp14:anchorId="53C902E2" wp14:editId="53C902E3">
                <wp:simplePos x="0" y="0"/>
                <wp:positionH relativeFrom="column">
                  <wp:posOffset>-60960</wp:posOffset>
                </wp:positionH>
                <wp:positionV relativeFrom="paragraph">
                  <wp:posOffset>224789</wp:posOffset>
                </wp:positionV>
                <wp:extent cx="5742305" cy="1381125"/>
                <wp:effectExtent l="0" t="0" r="0" b="0"/>
                <wp:wrapNone/>
                <wp:docPr id="28" name="Títul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2305" cy="1381125"/>
                        </a:xfrm>
                        <a:prstGeom prst="rect">
                          <a:avLst/>
                        </a:prstGeom>
                      </wps:spPr>
                      <wps:txbx>
                        <w:txbxContent>
                          <w:p w14:paraId="09A91EA7" w14:textId="2F800AC0" w:rsidR="006D3180" w:rsidRDefault="006D3180" w:rsidP="00871592">
                            <w:pPr>
                              <w:pStyle w:val="NormalWeb"/>
                              <w:spacing w:before="0" w:after="0" w:afterAutospacing="0"/>
                              <w:ind w:left="-142"/>
                              <w:jc w:val="center"/>
                              <w:rPr>
                                <w:rFonts w:ascii="Century Gothic" w:hAnsi="Century Gothic" w:cs="Century Gothic"/>
                                <w:bCs/>
                                <w:color w:val="808080" w:themeColor="background1" w:themeShade="80"/>
                                <w:kern w:val="24"/>
                                <w:sz w:val="40"/>
                                <w:szCs w:val="40"/>
                              </w:rPr>
                            </w:pPr>
                            <w:r>
                              <w:rPr>
                                <w:rFonts w:ascii="Century Gothic" w:hAnsi="Century Gothic" w:cs="Century Gothic"/>
                                <w:bCs/>
                                <w:color w:val="808080" w:themeColor="background1" w:themeShade="80"/>
                                <w:kern w:val="24"/>
                                <w:sz w:val="40"/>
                                <w:szCs w:val="40"/>
                              </w:rPr>
                              <w:t>Gu</w:t>
                            </w:r>
                            <w:r w:rsidRPr="00E32039">
                              <w:rPr>
                                <w:rFonts w:ascii="Century Gothic" w:hAnsi="Century Gothic" w:cs="Century Gothic"/>
                                <w:bCs/>
                                <w:color w:val="808080" w:themeColor="background1" w:themeShade="80"/>
                                <w:kern w:val="24"/>
                                <w:sz w:val="40"/>
                                <w:szCs w:val="40"/>
                              </w:rPr>
                              <w:t>ía metodológica</w:t>
                            </w:r>
                          </w:p>
                          <w:p w14:paraId="53C902FD" w14:textId="07EFABF2" w:rsidR="006D3180" w:rsidRPr="005E5B57" w:rsidRDefault="006D3180" w:rsidP="005E5B57">
                            <w:pPr>
                              <w:pStyle w:val="NormalWeb"/>
                              <w:spacing w:before="0" w:after="0" w:afterAutospacing="0"/>
                              <w:ind w:left="-142"/>
                              <w:jc w:val="center"/>
                              <w:rPr>
                                <w:rFonts w:ascii="Century Gothic" w:hAnsi="Century Gothic" w:cs="Century Gothic"/>
                                <w:bCs/>
                                <w:color w:val="365F91" w:themeColor="accent1" w:themeShade="BF"/>
                                <w:kern w:val="24"/>
                                <w:sz w:val="48"/>
                                <w:szCs w:val="44"/>
                              </w:rPr>
                            </w:pPr>
                            <w:r w:rsidRPr="005E5B57">
                              <w:rPr>
                                <w:rFonts w:ascii="Century Gothic" w:hAnsi="Century Gothic" w:cs="Century Gothic"/>
                                <w:bCs/>
                                <w:color w:val="365F91" w:themeColor="accent1" w:themeShade="BF"/>
                                <w:kern w:val="24"/>
                                <w:sz w:val="48"/>
                                <w:szCs w:val="44"/>
                              </w:rPr>
                              <w:t>Cálculo de la curva de tipos de interés técnico 20</w:t>
                            </w:r>
                            <w:r>
                              <w:rPr>
                                <w:rFonts w:ascii="Century Gothic" w:hAnsi="Century Gothic" w:cs="Century Gothic"/>
                                <w:bCs/>
                                <w:color w:val="365F91" w:themeColor="accent1" w:themeShade="BF"/>
                                <w:kern w:val="24"/>
                                <w:sz w:val="48"/>
                                <w:szCs w:val="44"/>
                              </w:rPr>
                              <w:t>20</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3C902E2" id="_x0000_t202" coordsize="21600,21600" o:spt="202" path="m,l,21600r21600,l21600,xe">
                <v:stroke joinstyle="miter"/>
                <v:path gradientshapeok="t" o:connecttype="rect"/>
              </v:shapetype>
              <v:shape id="Título 1" o:spid="_x0000_s1026" type="#_x0000_t202" style="position:absolute;left:0;text-align:left;margin-left:-4.8pt;margin-top:17.7pt;width:452.15pt;height:10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" filled="f" stroked="f">
                <v:textbox>
                  <w:txbxContent>
                    <w:p w14:paraId="09A91EA7" w14:textId="2F800AC0" w:rsidR="006D3180" w:rsidRDefault="006D3180" w:rsidP="00871592">
                      <w:pPr>
                        <w:pStyle w:val="NormalWeb"/>
                        <w:spacing w:before="0" w:after="0" w:afterAutospacing="0"/>
                        <w:ind w:left="-142"/>
                        <w:jc w:val="center"/>
                        <w:rPr>
                          <w:rFonts w:ascii="Century Gothic" w:hAnsi="Century Gothic" w:cs="Century Gothic"/>
                          <w:bCs/>
                          <w:color w:val="808080" w:themeColor="background1" w:themeShade="80"/>
                          <w:kern w:val="24"/>
                          <w:sz w:val="40"/>
                          <w:szCs w:val="40"/>
                        </w:rPr>
                      </w:pPr>
                      <w:r>
                        <w:rPr>
                          <w:rFonts w:ascii="Century Gothic" w:hAnsi="Century Gothic" w:cs="Century Gothic"/>
                          <w:bCs/>
                          <w:color w:val="808080" w:themeColor="background1" w:themeShade="80"/>
                          <w:kern w:val="24"/>
                          <w:sz w:val="40"/>
                          <w:szCs w:val="40"/>
                        </w:rPr>
                        <w:t>Gu</w:t>
                      </w:r>
                      <w:r w:rsidRPr="00E32039">
                        <w:rPr>
                          <w:rFonts w:ascii="Century Gothic" w:hAnsi="Century Gothic" w:cs="Century Gothic"/>
                          <w:bCs/>
                          <w:color w:val="808080" w:themeColor="background1" w:themeShade="80"/>
                          <w:kern w:val="24"/>
                          <w:sz w:val="40"/>
                          <w:szCs w:val="40"/>
                        </w:rPr>
                        <w:t>ía metodológica</w:t>
                      </w:r>
                    </w:p>
                    <w:p w14:paraId="53C902FD" w14:textId="07EFABF2" w:rsidR="006D3180" w:rsidRPr="005E5B57" w:rsidRDefault="006D3180" w:rsidP="005E5B57">
                      <w:pPr>
                        <w:pStyle w:val="NormalWeb"/>
                        <w:spacing w:before="0" w:after="0" w:afterAutospacing="0"/>
                        <w:ind w:left="-142"/>
                        <w:jc w:val="center"/>
                        <w:rPr>
                          <w:rFonts w:ascii="Century Gothic" w:hAnsi="Century Gothic" w:cs="Century Gothic"/>
                          <w:bCs/>
                          <w:color w:val="365F91" w:themeColor="accent1" w:themeShade="BF"/>
                          <w:kern w:val="24"/>
                          <w:sz w:val="48"/>
                          <w:szCs w:val="44"/>
                        </w:rPr>
                      </w:pPr>
                      <w:r w:rsidRPr="005E5B57">
                        <w:rPr>
                          <w:rFonts w:ascii="Century Gothic" w:hAnsi="Century Gothic" w:cs="Century Gothic"/>
                          <w:bCs/>
                          <w:color w:val="365F91" w:themeColor="accent1" w:themeShade="BF"/>
                          <w:kern w:val="24"/>
                          <w:sz w:val="48"/>
                          <w:szCs w:val="44"/>
                        </w:rPr>
                        <w:t>Cálculo de la curva de tipos de interés técnico 20</w:t>
                      </w:r>
                      <w:r>
                        <w:rPr>
                          <w:rFonts w:ascii="Century Gothic" w:hAnsi="Century Gothic" w:cs="Century Gothic"/>
                          <w:bCs/>
                          <w:color w:val="365F91" w:themeColor="accent1" w:themeShade="BF"/>
                          <w:kern w:val="24"/>
                          <w:sz w:val="48"/>
                          <w:szCs w:val="44"/>
                        </w:rPr>
                        <w:t>20</w:t>
                      </w:r>
                    </w:p>
                  </w:txbxContent>
                </v:textbox>
              </v:shape>
            </w:pict>
          </mc:Fallback>
        </mc:AlternateContent>
      </w:r>
    </w:p>
    <w:p w14:paraId="53C90245" w14:textId="77777777" w:rsidR="0046129A" w:rsidRPr="00591A84" w:rsidRDefault="0046129A" w:rsidP="00F67C5E">
      <w:pPr>
        <w:jc w:val="center"/>
        <w:rPr>
          <w:rFonts w:asciiTheme="majorHAnsi" w:hAnsiTheme="majorHAnsi"/>
          <w:b/>
        </w:rPr>
      </w:pPr>
    </w:p>
    <w:p w14:paraId="53C90246" w14:textId="77777777" w:rsidR="0046129A" w:rsidRPr="00591A84" w:rsidRDefault="0046129A" w:rsidP="00F67C5E">
      <w:pPr>
        <w:jc w:val="center"/>
        <w:rPr>
          <w:rFonts w:asciiTheme="majorHAnsi" w:hAnsiTheme="majorHAnsi"/>
          <w:b/>
        </w:rPr>
      </w:pPr>
    </w:p>
    <w:p w14:paraId="53C90247" w14:textId="77777777" w:rsidR="0046129A" w:rsidRPr="00591A84" w:rsidRDefault="0046129A" w:rsidP="00F67C5E">
      <w:pPr>
        <w:jc w:val="center"/>
        <w:rPr>
          <w:rFonts w:asciiTheme="majorHAnsi" w:hAnsiTheme="majorHAnsi"/>
          <w:b/>
        </w:rPr>
      </w:pPr>
    </w:p>
    <w:p w14:paraId="53C90248" w14:textId="77777777" w:rsidR="0046129A" w:rsidRDefault="0046129A" w:rsidP="00F67C5E">
      <w:pPr>
        <w:jc w:val="center"/>
        <w:rPr>
          <w:rFonts w:asciiTheme="majorHAnsi" w:hAnsiTheme="majorHAnsi"/>
          <w:b/>
        </w:rPr>
      </w:pPr>
    </w:p>
    <w:p w14:paraId="53C90249" w14:textId="77777777" w:rsidR="0046129A" w:rsidRDefault="0046129A" w:rsidP="00F67C5E">
      <w:pPr>
        <w:jc w:val="center"/>
        <w:rPr>
          <w:rFonts w:asciiTheme="majorHAnsi" w:hAnsiTheme="majorHAnsi"/>
          <w:b/>
        </w:rPr>
      </w:pPr>
    </w:p>
    <w:p w14:paraId="53C9024A" w14:textId="77777777" w:rsidR="0046129A" w:rsidRDefault="0046129A" w:rsidP="00F67C5E">
      <w:pPr>
        <w:jc w:val="center"/>
        <w:rPr>
          <w:rFonts w:asciiTheme="majorHAnsi" w:hAnsiTheme="majorHAnsi"/>
          <w:b/>
        </w:rPr>
      </w:pPr>
    </w:p>
    <w:p w14:paraId="53C9024C" w14:textId="77777777" w:rsidR="0046129A" w:rsidRDefault="0046129A" w:rsidP="00F67C5E">
      <w:pPr>
        <w:jc w:val="center"/>
        <w:rPr>
          <w:rFonts w:asciiTheme="majorHAnsi" w:hAnsiTheme="majorHAnsi"/>
          <w:b/>
        </w:rPr>
      </w:pPr>
    </w:p>
    <w:p w14:paraId="53C9024D" w14:textId="77777777" w:rsidR="00F10A0F" w:rsidRDefault="00F10A0F" w:rsidP="00F67C5E">
      <w:pPr>
        <w:jc w:val="center"/>
        <w:rPr>
          <w:rFonts w:asciiTheme="majorHAnsi" w:hAnsiTheme="majorHAnsi"/>
          <w:b/>
        </w:rPr>
      </w:pPr>
    </w:p>
    <w:p w14:paraId="53C9024E" w14:textId="77777777" w:rsidR="00F10A0F" w:rsidRPr="00591A84" w:rsidRDefault="00F10A0F" w:rsidP="00F67C5E">
      <w:pPr>
        <w:jc w:val="center"/>
        <w:rPr>
          <w:rFonts w:asciiTheme="majorHAnsi" w:hAnsiTheme="majorHAnsi"/>
          <w:b/>
        </w:rPr>
      </w:pPr>
    </w:p>
    <w:p w14:paraId="53C9024F" w14:textId="11E6794E" w:rsidR="00F10A0F" w:rsidRDefault="00E93463" w:rsidP="00F67C5E">
      <w:pPr>
        <w:jc w:val="center"/>
        <w:rPr>
          <w:rFonts w:ascii="Century Gothic" w:hAnsi="Century Gothic"/>
          <w:color w:val="7F7F7F" w:themeColor="text1" w:themeTint="80"/>
          <w:sz w:val="22"/>
        </w:rPr>
      </w:pPr>
      <w:r>
        <w:rPr>
          <w:rFonts w:ascii="Century Gothic" w:hAnsi="Century Gothic"/>
          <w:color w:val="7F7F7F" w:themeColor="text1" w:themeTint="80"/>
          <w:szCs w:val="24"/>
        </w:rPr>
        <w:t>Abril</w:t>
      </w:r>
      <w:r w:rsidR="0038287E">
        <w:rPr>
          <w:rFonts w:ascii="Century Gothic" w:hAnsi="Century Gothic"/>
          <w:color w:val="7F7F7F" w:themeColor="text1" w:themeTint="80"/>
          <w:szCs w:val="24"/>
        </w:rPr>
        <w:t xml:space="preserve"> 20</w:t>
      </w:r>
      <w:r>
        <w:rPr>
          <w:rFonts w:ascii="Century Gothic" w:hAnsi="Century Gothic"/>
          <w:color w:val="7F7F7F" w:themeColor="text1" w:themeTint="80"/>
          <w:szCs w:val="24"/>
        </w:rPr>
        <w:t>2</w:t>
      </w:r>
      <w:r w:rsidR="004503AC">
        <w:rPr>
          <w:rFonts w:ascii="Century Gothic" w:hAnsi="Century Gothic"/>
          <w:color w:val="7F7F7F" w:themeColor="text1" w:themeTint="80"/>
          <w:szCs w:val="24"/>
        </w:rPr>
        <w:t>1</w:t>
      </w:r>
    </w:p>
    <w:p w14:paraId="53C90250" w14:textId="40A3483B" w:rsidR="0046129A" w:rsidRPr="005961DB" w:rsidRDefault="0046129A" w:rsidP="00F67C5E">
      <w:pPr>
        <w:tabs>
          <w:tab w:val="left" w:pos="284"/>
        </w:tabs>
        <w:jc w:val="center"/>
        <w:rPr>
          <w:rFonts w:ascii="Century Gothic" w:hAnsi="Century Gothic"/>
          <w:color w:val="7F7F7F" w:themeColor="text1" w:themeTint="80"/>
          <w:szCs w:val="24"/>
        </w:rPr>
      </w:pPr>
    </w:p>
    <w:p w14:paraId="53C90251" w14:textId="77777777" w:rsidR="0046129A" w:rsidRDefault="0046129A" w:rsidP="00F67C5E">
      <w:pPr>
        <w:jc w:val="center"/>
        <w:rPr>
          <w:rFonts w:ascii="Century Gothic" w:hAnsi="Century Gothic"/>
          <w:color w:val="7F7F7F" w:themeColor="text1" w:themeTint="80"/>
          <w:sz w:val="20"/>
          <w:szCs w:val="20"/>
        </w:rPr>
      </w:pPr>
    </w:p>
    <w:p w14:paraId="53C90252" w14:textId="77777777" w:rsidR="0046129A" w:rsidRDefault="0046129A" w:rsidP="00F67C5E">
      <w:pPr>
        <w:jc w:val="center"/>
        <w:rPr>
          <w:rFonts w:ascii="Century Gothic" w:hAnsi="Century Gothic"/>
          <w:color w:val="7F7F7F" w:themeColor="text1" w:themeTint="80"/>
          <w:sz w:val="20"/>
          <w:szCs w:val="20"/>
        </w:rPr>
      </w:pPr>
    </w:p>
    <w:p w14:paraId="53C90253" w14:textId="77777777" w:rsidR="0046129A" w:rsidRPr="00591A84" w:rsidRDefault="0046129A" w:rsidP="00F67C5E">
      <w:pPr>
        <w:jc w:val="center"/>
        <w:rPr>
          <w:rFonts w:ascii="Century Gothic" w:hAnsi="Century Gothic"/>
          <w:b/>
        </w:rPr>
      </w:pPr>
      <w:r w:rsidRPr="00591A84">
        <w:rPr>
          <w:rFonts w:ascii="Century Gothic" w:hAnsi="Century Gothic"/>
          <w:noProof/>
          <w:lang w:val="en-US"/>
        </w:rPr>
        <w:drawing>
          <wp:inline distT="0" distB="0" distL="0" distR="0" wp14:anchorId="53C902E4" wp14:editId="53C902E5">
            <wp:extent cx="5598709" cy="95097"/>
            <wp:effectExtent l="0" t="0" r="0" b="63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b="84524"/>
                    <a:stretch/>
                  </pic:blipFill>
                  <pic:spPr bwMode="auto">
                    <a:xfrm>
                      <a:off x="0" y="0"/>
                      <a:ext cx="5612130" cy="95325"/>
                    </a:xfrm>
                    <a:prstGeom prst="rect">
                      <a:avLst/>
                    </a:prstGeom>
                    <a:ln>
                      <a:noFill/>
                    </a:ln>
                    <a:extLst>
                      <a:ext uri="{53640926-AAD7-44D8-BBD7-CCE9431645EC}">
                        <a14:shadowObscured xmlns:a14="http://schemas.microsoft.com/office/drawing/2010/main"/>
                      </a:ext>
                    </a:extLst>
                  </pic:spPr>
                </pic:pic>
              </a:graphicData>
            </a:graphic>
          </wp:inline>
        </w:drawing>
      </w:r>
    </w:p>
    <w:p w14:paraId="53C90254" w14:textId="77777777" w:rsidR="0046129A" w:rsidRPr="00591A84" w:rsidRDefault="0046129A" w:rsidP="00F67C5E">
      <w:pPr>
        <w:jc w:val="center"/>
        <w:rPr>
          <w:rFonts w:ascii="Century Gothic" w:hAnsi="Century Gothic"/>
          <w:b/>
        </w:rPr>
      </w:pPr>
    </w:p>
    <w:sdt>
      <w:sdtPr>
        <w:rPr>
          <w:rFonts w:asciiTheme="minorHAnsi" w:eastAsiaTheme="minorHAnsi" w:hAnsiTheme="minorHAnsi" w:cstheme="minorHAnsi"/>
          <w:b w:val="0"/>
          <w:bCs w:val="0"/>
          <w:color w:val="auto"/>
          <w:sz w:val="22"/>
          <w:szCs w:val="22"/>
          <w:lang w:val="es-CR" w:eastAsia="es-ES"/>
        </w:rPr>
        <w:id w:val="28532093"/>
        <w:docPartObj>
          <w:docPartGallery w:val="Table of Contents"/>
          <w:docPartUnique/>
        </w:docPartObj>
      </w:sdtPr>
      <w:sdtEndPr>
        <w:rPr>
          <w:sz w:val="24"/>
          <w:lang w:eastAsia="en-US"/>
        </w:rPr>
      </w:sdtEndPr>
      <w:sdtContent>
        <w:p w14:paraId="53C90255" w14:textId="77777777" w:rsidR="0046129A" w:rsidRPr="002919AB" w:rsidRDefault="0046129A" w:rsidP="00F67C5E">
          <w:pPr>
            <w:pStyle w:val="TtuloTDC"/>
            <w:spacing w:before="0"/>
            <w:rPr>
              <w:rFonts w:ascii="Century Gothic" w:hAnsi="Century Gothic" w:cstheme="minorHAnsi"/>
              <w:sz w:val="22"/>
              <w:szCs w:val="22"/>
              <w:lang w:val="es-CR"/>
            </w:rPr>
          </w:pPr>
          <w:r w:rsidRPr="002919AB">
            <w:rPr>
              <w:rFonts w:ascii="Century Gothic" w:hAnsi="Century Gothic" w:cstheme="minorHAnsi"/>
              <w:szCs w:val="22"/>
              <w:lang w:val="es-CR"/>
            </w:rPr>
            <w:t>Contenido</w:t>
          </w:r>
        </w:p>
        <w:p w14:paraId="53C90256" w14:textId="77777777" w:rsidR="0046129A" w:rsidRPr="002919AB" w:rsidRDefault="0046129A" w:rsidP="00F67C5E">
          <w:pPr>
            <w:rPr>
              <w:rFonts w:ascii="Century Gothic" w:hAnsi="Century Gothic" w:cstheme="minorHAnsi"/>
              <w:sz w:val="22"/>
            </w:rPr>
          </w:pPr>
        </w:p>
        <w:p w14:paraId="4628EC2E" w14:textId="77777777" w:rsidR="00D11170" w:rsidRDefault="0046129A">
          <w:pPr>
            <w:pStyle w:val="TDC1"/>
            <w:rPr>
              <w:noProof/>
              <w:sz w:val="22"/>
              <w:lang w:val="en-US" w:eastAsia="en-US"/>
            </w:rPr>
          </w:pPr>
          <w:r w:rsidRPr="002919AB">
            <w:rPr>
              <w:rFonts w:ascii="Century Gothic" w:hAnsi="Century Gothic" w:cstheme="minorHAnsi"/>
              <w:sz w:val="22"/>
            </w:rPr>
            <w:fldChar w:fldCharType="begin"/>
          </w:r>
          <w:r w:rsidRPr="002919AB">
            <w:rPr>
              <w:rFonts w:ascii="Century Gothic" w:hAnsi="Century Gothic" w:cstheme="minorHAnsi"/>
              <w:sz w:val="22"/>
            </w:rPr>
            <w:instrText xml:space="preserve"> TOC \o "1-3" \h \z \u </w:instrText>
          </w:r>
          <w:r w:rsidRPr="002919AB">
            <w:rPr>
              <w:rFonts w:ascii="Century Gothic" w:hAnsi="Century Gothic" w:cstheme="minorHAnsi"/>
              <w:sz w:val="22"/>
            </w:rPr>
            <w:fldChar w:fldCharType="separate"/>
          </w:r>
          <w:hyperlink w:anchor="_Toc37177672" w:history="1">
            <w:r w:rsidR="00D11170" w:rsidRPr="001F711C">
              <w:rPr>
                <w:rStyle w:val="Hipervnculo"/>
                <w:rFonts w:ascii="Century Gothic" w:eastAsiaTheme="majorEastAsia" w:hAnsi="Century Gothic" w:cstheme="majorBidi"/>
                <w:noProof/>
              </w:rPr>
              <w:t>I.</w:t>
            </w:r>
            <w:r w:rsidR="00D11170">
              <w:rPr>
                <w:noProof/>
                <w:sz w:val="22"/>
                <w:lang w:val="en-US" w:eastAsia="en-US"/>
              </w:rPr>
              <w:tab/>
            </w:r>
            <w:r w:rsidR="00D11170" w:rsidRPr="001F711C">
              <w:rPr>
                <w:rStyle w:val="Hipervnculo"/>
                <w:rFonts w:ascii="Century Gothic" w:eastAsiaTheme="majorEastAsia" w:hAnsi="Century Gothic" w:cstheme="majorBidi"/>
                <w:noProof/>
              </w:rPr>
              <w:t>Introducción</w:t>
            </w:r>
            <w:r w:rsidR="00D11170">
              <w:rPr>
                <w:noProof/>
                <w:webHidden/>
              </w:rPr>
              <w:tab/>
            </w:r>
            <w:r w:rsidR="00D11170">
              <w:rPr>
                <w:noProof/>
                <w:webHidden/>
              </w:rPr>
              <w:fldChar w:fldCharType="begin"/>
            </w:r>
            <w:r w:rsidR="00D11170">
              <w:rPr>
                <w:noProof/>
                <w:webHidden/>
              </w:rPr>
              <w:instrText xml:space="preserve"> PAGEREF _Toc37177672 \h </w:instrText>
            </w:r>
            <w:r w:rsidR="00D11170">
              <w:rPr>
                <w:noProof/>
                <w:webHidden/>
              </w:rPr>
            </w:r>
            <w:r w:rsidR="00D11170">
              <w:rPr>
                <w:noProof/>
                <w:webHidden/>
              </w:rPr>
              <w:fldChar w:fldCharType="separate"/>
            </w:r>
            <w:r w:rsidR="00D11170">
              <w:rPr>
                <w:noProof/>
                <w:webHidden/>
              </w:rPr>
              <w:t>2</w:t>
            </w:r>
            <w:r w:rsidR="00D11170">
              <w:rPr>
                <w:noProof/>
                <w:webHidden/>
              </w:rPr>
              <w:fldChar w:fldCharType="end"/>
            </w:r>
          </w:hyperlink>
        </w:p>
        <w:p w14:paraId="2AF98AD0" w14:textId="77777777" w:rsidR="00D11170" w:rsidRDefault="00A07579">
          <w:pPr>
            <w:pStyle w:val="TDC1"/>
            <w:rPr>
              <w:noProof/>
              <w:sz w:val="22"/>
              <w:lang w:val="en-US" w:eastAsia="en-US"/>
            </w:rPr>
          </w:pPr>
          <w:hyperlink w:anchor="_Toc37177673" w:history="1">
            <w:r w:rsidR="00D11170" w:rsidRPr="001F711C">
              <w:rPr>
                <w:rStyle w:val="Hipervnculo"/>
                <w:rFonts w:ascii="Century Gothic" w:eastAsiaTheme="majorEastAsia" w:hAnsi="Century Gothic" w:cstheme="majorBidi"/>
                <w:noProof/>
              </w:rPr>
              <w:t>II.</w:t>
            </w:r>
            <w:r w:rsidR="00D11170">
              <w:rPr>
                <w:noProof/>
                <w:sz w:val="22"/>
                <w:lang w:val="en-US" w:eastAsia="en-US"/>
              </w:rPr>
              <w:tab/>
            </w:r>
            <w:r w:rsidR="00D11170" w:rsidRPr="001F711C">
              <w:rPr>
                <w:rStyle w:val="Hipervnculo"/>
                <w:rFonts w:ascii="Century Gothic" w:eastAsiaTheme="majorEastAsia" w:hAnsi="Century Gothic" w:cstheme="majorBidi"/>
                <w:noProof/>
              </w:rPr>
              <w:t>Cálculo de la curva de tipos de interés técnico 2019</w:t>
            </w:r>
            <w:r w:rsidR="00D11170">
              <w:rPr>
                <w:noProof/>
                <w:webHidden/>
              </w:rPr>
              <w:tab/>
            </w:r>
            <w:r w:rsidR="00D11170">
              <w:rPr>
                <w:noProof/>
                <w:webHidden/>
              </w:rPr>
              <w:fldChar w:fldCharType="begin"/>
            </w:r>
            <w:r w:rsidR="00D11170">
              <w:rPr>
                <w:noProof/>
                <w:webHidden/>
              </w:rPr>
              <w:instrText xml:space="preserve"> PAGEREF _Toc37177673 \h </w:instrText>
            </w:r>
            <w:r w:rsidR="00D11170">
              <w:rPr>
                <w:noProof/>
                <w:webHidden/>
              </w:rPr>
            </w:r>
            <w:r w:rsidR="00D11170">
              <w:rPr>
                <w:noProof/>
                <w:webHidden/>
              </w:rPr>
              <w:fldChar w:fldCharType="separate"/>
            </w:r>
            <w:r w:rsidR="00D11170">
              <w:rPr>
                <w:noProof/>
                <w:webHidden/>
              </w:rPr>
              <w:t>3</w:t>
            </w:r>
            <w:r w:rsidR="00D11170">
              <w:rPr>
                <w:noProof/>
                <w:webHidden/>
              </w:rPr>
              <w:fldChar w:fldCharType="end"/>
            </w:r>
          </w:hyperlink>
        </w:p>
        <w:p w14:paraId="424F08D5" w14:textId="77777777" w:rsidR="00D11170" w:rsidRDefault="00A07579">
          <w:pPr>
            <w:pStyle w:val="TDC2"/>
            <w:tabs>
              <w:tab w:val="left" w:pos="880"/>
            </w:tabs>
            <w:rPr>
              <w:noProof/>
              <w:sz w:val="22"/>
              <w:lang w:val="en-US" w:eastAsia="en-US"/>
            </w:rPr>
          </w:pPr>
          <w:hyperlink w:anchor="_Toc37177674" w:history="1">
            <w:r w:rsidR="00D11170" w:rsidRPr="001F711C">
              <w:rPr>
                <w:rStyle w:val="Hipervnculo"/>
                <w:rFonts w:ascii="Century Gothic" w:hAnsi="Century Gothic"/>
                <w:b/>
                <w:noProof/>
              </w:rPr>
              <w:t>1.</w:t>
            </w:r>
            <w:r w:rsidR="00D11170">
              <w:rPr>
                <w:noProof/>
                <w:sz w:val="22"/>
                <w:lang w:val="en-US" w:eastAsia="en-US"/>
              </w:rPr>
              <w:tab/>
            </w:r>
            <w:r w:rsidR="00D11170" w:rsidRPr="001F711C">
              <w:rPr>
                <w:rStyle w:val="Hipervnculo"/>
                <w:rFonts w:ascii="Century Gothic" w:hAnsi="Century Gothic"/>
                <w:b/>
                <w:noProof/>
              </w:rPr>
              <w:t>Curva de rendimiento soberana</w:t>
            </w:r>
            <w:r w:rsidR="00D11170">
              <w:rPr>
                <w:noProof/>
                <w:webHidden/>
              </w:rPr>
              <w:tab/>
            </w:r>
            <w:r w:rsidR="00D11170">
              <w:rPr>
                <w:noProof/>
                <w:webHidden/>
              </w:rPr>
              <w:fldChar w:fldCharType="begin"/>
            </w:r>
            <w:r w:rsidR="00D11170">
              <w:rPr>
                <w:noProof/>
                <w:webHidden/>
              </w:rPr>
              <w:instrText xml:space="preserve"> PAGEREF _Toc37177674 \h </w:instrText>
            </w:r>
            <w:r w:rsidR="00D11170">
              <w:rPr>
                <w:noProof/>
                <w:webHidden/>
              </w:rPr>
            </w:r>
            <w:r w:rsidR="00D11170">
              <w:rPr>
                <w:noProof/>
                <w:webHidden/>
              </w:rPr>
              <w:fldChar w:fldCharType="separate"/>
            </w:r>
            <w:r w:rsidR="00D11170">
              <w:rPr>
                <w:noProof/>
                <w:webHidden/>
              </w:rPr>
              <w:t>3</w:t>
            </w:r>
            <w:r w:rsidR="00D11170">
              <w:rPr>
                <w:noProof/>
                <w:webHidden/>
              </w:rPr>
              <w:fldChar w:fldCharType="end"/>
            </w:r>
          </w:hyperlink>
        </w:p>
        <w:p w14:paraId="6D12A0DA" w14:textId="77777777" w:rsidR="00D11170" w:rsidRDefault="00A07579">
          <w:pPr>
            <w:pStyle w:val="TDC2"/>
            <w:tabs>
              <w:tab w:val="left" w:pos="880"/>
            </w:tabs>
            <w:rPr>
              <w:noProof/>
              <w:sz w:val="22"/>
              <w:lang w:val="en-US" w:eastAsia="en-US"/>
            </w:rPr>
          </w:pPr>
          <w:hyperlink w:anchor="_Toc37177675" w:history="1">
            <w:r w:rsidR="00D11170" w:rsidRPr="001F711C">
              <w:rPr>
                <w:rStyle w:val="Hipervnculo"/>
                <w:rFonts w:ascii="Century Gothic" w:hAnsi="Century Gothic"/>
                <w:b/>
                <w:noProof/>
              </w:rPr>
              <w:t>2.</w:t>
            </w:r>
            <w:r w:rsidR="00D11170">
              <w:rPr>
                <w:noProof/>
                <w:sz w:val="22"/>
                <w:lang w:val="en-US" w:eastAsia="en-US"/>
              </w:rPr>
              <w:tab/>
            </w:r>
            <w:r w:rsidR="00D11170" w:rsidRPr="001F711C">
              <w:rPr>
                <w:rStyle w:val="Hipervnculo"/>
                <w:rFonts w:ascii="Century Gothic" w:hAnsi="Century Gothic"/>
                <w:b/>
                <w:noProof/>
              </w:rPr>
              <w:t>Ultimate forward rate (UFR)</w:t>
            </w:r>
            <w:r w:rsidR="00D11170">
              <w:rPr>
                <w:noProof/>
                <w:webHidden/>
              </w:rPr>
              <w:tab/>
            </w:r>
            <w:r w:rsidR="00D11170">
              <w:rPr>
                <w:noProof/>
                <w:webHidden/>
              </w:rPr>
              <w:fldChar w:fldCharType="begin"/>
            </w:r>
            <w:r w:rsidR="00D11170">
              <w:rPr>
                <w:noProof/>
                <w:webHidden/>
              </w:rPr>
              <w:instrText xml:space="preserve"> PAGEREF _Toc37177675 \h </w:instrText>
            </w:r>
            <w:r w:rsidR="00D11170">
              <w:rPr>
                <w:noProof/>
                <w:webHidden/>
              </w:rPr>
            </w:r>
            <w:r w:rsidR="00D11170">
              <w:rPr>
                <w:noProof/>
                <w:webHidden/>
              </w:rPr>
              <w:fldChar w:fldCharType="separate"/>
            </w:r>
            <w:r w:rsidR="00D11170">
              <w:rPr>
                <w:noProof/>
                <w:webHidden/>
              </w:rPr>
              <w:t>4</w:t>
            </w:r>
            <w:r w:rsidR="00D11170">
              <w:rPr>
                <w:noProof/>
                <w:webHidden/>
              </w:rPr>
              <w:fldChar w:fldCharType="end"/>
            </w:r>
          </w:hyperlink>
        </w:p>
        <w:p w14:paraId="7EB1C45A" w14:textId="77777777" w:rsidR="00D11170" w:rsidRDefault="00A07579">
          <w:pPr>
            <w:pStyle w:val="TDC3"/>
            <w:rPr>
              <w:rFonts w:asciiTheme="minorHAnsi" w:hAnsiTheme="minorHAnsi"/>
              <w:i w:val="0"/>
              <w:sz w:val="22"/>
              <w:lang w:val="en-US" w:eastAsia="en-US"/>
            </w:rPr>
          </w:pPr>
          <w:hyperlink w:anchor="_Toc37177676" w:history="1">
            <w:r w:rsidR="00D11170" w:rsidRPr="001F711C">
              <w:rPr>
                <w:rStyle w:val="Hipervnculo"/>
              </w:rPr>
              <w:t>a.</w:t>
            </w:r>
            <w:r w:rsidR="00D11170">
              <w:rPr>
                <w:rFonts w:asciiTheme="minorHAnsi" w:hAnsiTheme="minorHAnsi"/>
                <w:i w:val="0"/>
                <w:sz w:val="22"/>
                <w:lang w:val="en-US" w:eastAsia="en-US"/>
              </w:rPr>
              <w:tab/>
            </w:r>
            <w:r w:rsidR="00D11170" w:rsidRPr="001F711C">
              <w:rPr>
                <w:rStyle w:val="Hipervnculo"/>
              </w:rPr>
              <w:t>Tasa real esperada</w:t>
            </w:r>
            <w:r w:rsidR="00D11170">
              <w:rPr>
                <w:webHidden/>
              </w:rPr>
              <w:tab/>
            </w:r>
            <w:r w:rsidR="00D11170">
              <w:rPr>
                <w:webHidden/>
              </w:rPr>
              <w:fldChar w:fldCharType="begin"/>
            </w:r>
            <w:r w:rsidR="00D11170">
              <w:rPr>
                <w:webHidden/>
              </w:rPr>
              <w:instrText xml:space="preserve"> PAGEREF _Toc37177676 \h </w:instrText>
            </w:r>
            <w:r w:rsidR="00D11170">
              <w:rPr>
                <w:webHidden/>
              </w:rPr>
            </w:r>
            <w:r w:rsidR="00D11170">
              <w:rPr>
                <w:webHidden/>
              </w:rPr>
              <w:fldChar w:fldCharType="separate"/>
            </w:r>
            <w:r w:rsidR="00D11170">
              <w:rPr>
                <w:webHidden/>
              </w:rPr>
              <w:t>4</w:t>
            </w:r>
            <w:r w:rsidR="00D11170">
              <w:rPr>
                <w:webHidden/>
              </w:rPr>
              <w:fldChar w:fldCharType="end"/>
            </w:r>
          </w:hyperlink>
        </w:p>
        <w:p w14:paraId="04C6A5F6" w14:textId="77777777" w:rsidR="00D11170" w:rsidRDefault="00A07579">
          <w:pPr>
            <w:pStyle w:val="TDC3"/>
            <w:rPr>
              <w:rFonts w:asciiTheme="minorHAnsi" w:hAnsiTheme="minorHAnsi"/>
              <w:i w:val="0"/>
              <w:sz w:val="22"/>
              <w:lang w:val="en-US" w:eastAsia="en-US"/>
            </w:rPr>
          </w:pPr>
          <w:hyperlink w:anchor="_Toc37177677" w:history="1">
            <w:r w:rsidR="00D11170" w:rsidRPr="001F711C">
              <w:rPr>
                <w:rStyle w:val="Hipervnculo"/>
              </w:rPr>
              <w:t>b.</w:t>
            </w:r>
            <w:r w:rsidR="00D11170">
              <w:rPr>
                <w:rFonts w:asciiTheme="minorHAnsi" w:hAnsiTheme="minorHAnsi"/>
                <w:i w:val="0"/>
                <w:sz w:val="22"/>
                <w:lang w:val="en-US" w:eastAsia="en-US"/>
              </w:rPr>
              <w:tab/>
            </w:r>
            <w:r w:rsidR="00D11170" w:rsidRPr="001F711C">
              <w:rPr>
                <w:rStyle w:val="Hipervnculo"/>
              </w:rPr>
              <w:t>Inflación esperada</w:t>
            </w:r>
            <w:r w:rsidR="00D11170">
              <w:rPr>
                <w:webHidden/>
              </w:rPr>
              <w:tab/>
            </w:r>
            <w:r w:rsidR="00D11170">
              <w:rPr>
                <w:webHidden/>
              </w:rPr>
              <w:fldChar w:fldCharType="begin"/>
            </w:r>
            <w:r w:rsidR="00D11170">
              <w:rPr>
                <w:webHidden/>
              </w:rPr>
              <w:instrText xml:space="preserve"> PAGEREF _Toc37177677 \h </w:instrText>
            </w:r>
            <w:r w:rsidR="00D11170">
              <w:rPr>
                <w:webHidden/>
              </w:rPr>
            </w:r>
            <w:r w:rsidR="00D11170">
              <w:rPr>
                <w:webHidden/>
              </w:rPr>
              <w:fldChar w:fldCharType="separate"/>
            </w:r>
            <w:r w:rsidR="00D11170">
              <w:rPr>
                <w:webHidden/>
              </w:rPr>
              <w:t>5</w:t>
            </w:r>
            <w:r w:rsidR="00D11170">
              <w:rPr>
                <w:webHidden/>
              </w:rPr>
              <w:fldChar w:fldCharType="end"/>
            </w:r>
          </w:hyperlink>
        </w:p>
        <w:p w14:paraId="53D98C2F" w14:textId="77777777" w:rsidR="00D11170" w:rsidRDefault="00A07579">
          <w:pPr>
            <w:pStyle w:val="TDC2"/>
            <w:tabs>
              <w:tab w:val="left" w:pos="880"/>
            </w:tabs>
            <w:rPr>
              <w:noProof/>
              <w:sz w:val="22"/>
              <w:lang w:val="en-US" w:eastAsia="en-US"/>
            </w:rPr>
          </w:pPr>
          <w:hyperlink w:anchor="_Toc37177678" w:history="1">
            <w:r w:rsidR="00D11170" w:rsidRPr="001F711C">
              <w:rPr>
                <w:rStyle w:val="Hipervnculo"/>
                <w:rFonts w:ascii="Century Gothic" w:hAnsi="Century Gothic"/>
                <w:b/>
                <w:noProof/>
              </w:rPr>
              <w:t>3.</w:t>
            </w:r>
            <w:r w:rsidR="00D11170">
              <w:rPr>
                <w:noProof/>
                <w:sz w:val="22"/>
                <w:lang w:val="en-US" w:eastAsia="en-US"/>
              </w:rPr>
              <w:tab/>
            </w:r>
            <w:r w:rsidR="00D11170" w:rsidRPr="001F711C">
              <w:rPr>
                <w:rStyle w:val="Hipervnculo"/>
                <w:rFonts w:ascii="Century Gothic" w:hAnsi="Century Gothic"/>
                <w:b/>
                <w:noProof/>
              </w:rPr>
              <w:t>Descripción del método Smith-Wilson</w:t>
            </w:r>
            <w:r w:rsidR="00D11170">
              <w:rPr>
                <w:noProof/>
                <w:webHidden/>
              </w:rPr>
              <w:tab/>
            </w:r>
            <w:r w:rsidR="00D11170">
              <w:rPr>
                <w:noProof/>
                <w:webHidden/>
              </w:rPr>
              <w:fldChar w:fldCharType="begin"/>
            </w:r>
            <w:r w:rsidR="00D11170">
              <w:rPr>
                <w:noProof/>
                <w:webHidden/>
              </w:rPr>
              <w:instrText xml:space="preserve"> PAGEREF _Toc37177678 \h </w:instrText>
            </w:r>
            <w:r w:rsidR="00D11170">
              <w:rPr>
                <w:noProof/>
                <w:webHidden/>
              </w:rPr>
            </w:r>
            <w:r w:rsidR="00D11170">
              <w:rPr>
                <w:noProof/>
                <w:webHidden/>
              </w:rPr>
              <w:fldChar w:fldCharType="separate"/>
            </w:r>
            <w:r w:rsidR="00D11170">
              <w:rPr>
                <w:noProof/>
                <w:webHidden/>
              </w:rPr>
              <w:t>6</w:t>
            </w:r>
            <w:r w:rsidR="00D11170">
              <w:rPr>
                <w:noProof/>
                <w:webHidden/>
              </w:rPr>
              <w:fldChar w:fldCharType="end"/>
            </w:r>
          </w:hyperlink>
        </w:p>
        <w:p w14:paraId="5BE3BB4B" w14:textId="77777777" w:rsidR="00D11170" w:rsidRDefault="00A07579">
          <w:pPr>
            <w:pStyle w:val="TDC1"/>
            <w:rPr>
              <w:noProof/>
              <w:sz w:val="22"/>
              <w:lang w:val="en-US" w:eastAsia="en-US"/>
            </w:rPr>
          </w:pPr>
          <w:hyperlink w:anchor="_Toc37177679" w:history="1">
            <w:r w:rsidR="00D11170" w:rsidRPr="001F711C">
              <w:rPr>
                <w:rStyle w:val="Hipervnculo"/>
                <w:rFonts w:ascii="Century Gothic" w:eastAsiaTheme="majorEastAsia" w:hAnsi="Century Gothic" w:cstheme="majorBidi"/>
                <w:noProof/>
              </w:rPr>
              <w:t>III.</w:t>
            </w:r>
            <w:r w:rsidR="00D11170">
              <w:rPr>
                <w:noProof/>
                <w:sz w:val="22"/>
                <w:lang w:val="en-US" w:eastAsia="en-US"/>
              </w:rPr>
              <w:tab/>
            </w:r>
            <w:r w:rsidR="00D11170" w:rsidRPr="001F711C">
              <w:rPr>
                <w:rStyle w:val="Hipervnculo"/>
                <w:rFonts w:ascii="Century Gothic" w:eastAsiaTheme="majorEastAsia" w:hAnsi="Century Gothic" w:cstheme="majorBidi"/>
                <w:noProof/>
              </w:rPr>
              <w:t>ANEXOS</w:t>
            </w:r>
            <w:r w:rsidR="00D11170">
              <w:rPr>
                <w:noProof/>
                <w:webHidden/>
              </w:rPr>
              <w:tab/>
            </w:r>
            <w:r w:rsidR="00D11170">
              <w:rPr>
                <w:noProof/>
                <w:webHidden/>
              </w:rPr>
              <w:fldChar w:fldCharType="begin"/>
            </w:r>
            <w:r w:rsidR="00D11170">
              <w:rPr>
                <w:noProof/>
                <w:webHidden/>
              </w:rPr>
              <w:instrText xml:space="preserve"> PAGEREF _Toc37177679 \h </w:instrText>
            </w:r>
            <w:r w:rsidR="00D11170">
              <w:rPr>
                <w:noProof/>
                <w:webHidden/>
              </w:rPr>
            </w:r>
            <w:r w:rsidR="00D11170">
              <w:rPr>
                <w:noProof/>
                <w:webHidden/>
              </w:rPr>
              <w:fldChar w:fldCharType="separate"/>
            </w:r>
            <w:r w:rsidR="00D11170">
              <w:rPr>
                <w:noProof/>
                <w:webHidden/>
              </w:rPr>
              <w:t>10</w:t>
            </w:r>
            <w:r w:rsidR="00D11170">
              <w:rPr>
                <w:noProof/>
                <w:webHidden/>
              </w:rPr>
              <w:fldChar w:fldCharType="end"/>
            </w:r>
          </w:hyperlink>
        </w:p>
        <w:p w14:paraId="53C90261" w14:textId="77777777" w:rsidR="0046129A" w:rsidRPr="00591A84" w:rsidRDefault="0046129A" w:rsidP="00F67C5E">
          <w:pPr>
            <w:rPr>
              <w:rFonts w:asciiTheme="majorHAnsi" w:hAnsiTheme="majorHAnsi" w:cstheme="minorHAnsi"/>
            </w:rPr>
          </w:pPr>
          <w:r w:rsidRPr="002919AB">
            <w:rPr>
              <w:rFonts w:ascii="Century Gothic" w:hAnsi="Century Gothic" w:cstheme="minorHAnsi"/>
              <w:sz w:val="22"/>
            </w:rPr>
            <w:fldChar w:fldCharType="end"/>
          </w:r>
          <w:r w:rsidR="00FF37F6" w:rsidRPr="00591A84">
            <w:rPr>
              <w:rFonts w:ascii="Century Gothic" w:hAnsi="Century Gothic"/>
              <w:noProof/>
              <w:lang w:val="en-US"/>
            </w:rPr>
            <w:drawing>
              <wp:inline distT="0" distB="0" distL="0" distR="0" wp14:anchorId="53C902E6" wp14:editId="53C902E7">
                <wp:extent cx="5598709" cy="95097"/>
                <wp:effectExtent l="0" t="0" r="0" b="63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b="84524"/>
                        <a:stretch/>
                      </pic:blipFill>
                      <pic:spPr bwMode="auto">
                        <a:xfrm>
                          <a:off x="0" y="0"/>
                          <a:ext cx="5612130" cy="95325"/>
                        </a:xfrm>
                        <a:prstGeom prst="rect">
                          <a:avLst/>
                        </a:prstGeom>
                        <a:ln>
                          <a:noFill/>
                        </a:ln>
                        <a:extLst>
                          <a:ext uri="{53640926-AAD7-44D8-BBD7-CCE9431645EC}">
                            <a14:shadowObscured xmlns:a14="http://schemas.microsoft.com/office/drawing/2010/main"/>
                          </a:ext>
                        </a:extLst>
                      </pic:spPr>
                    </pic:pic>
                  </a:graphicData>
                </a:graphic>
              </wp:inline>
            </w:drawing>
          </w:r>
        </w:p>
      </w:sdtContent>
    </w:sdt>
    <w:p w14:paraId="53C90262" w14:textId="77777777" w:rsidR="00FF37F6" w:rsidRDefault="00FF37F6" w:rsidP="00F67C5E">
      <w:r>
        <w:br w:type="page"/>
      </w:r>
    </w:p>
    <w:p w14:paraId="08F8BC12" w14:textId="77777777" w:rsidR="00A95C52" w:rsidRDefault="00A95C52" w:rsidP="00A95C52">
      <w:pPr>
        <w:pStyle w:val="Ttulo1"/>
        <w:spacing w:before="0" w:beforeAutospacing="0" w:after="0" w:afterAutospacing="0" w:line="276" w:lineRule="auto"/>
        <w:ind w:left="426"/>
        <w:rPr>
          <w:rFonts w:ascii="Century Gothic" w:eastAsiaTheme="majorEastAsia" w:hAnsi="Century Gothic" w:cstheme="majorBidi"/>
          <w:color w:val="365F91" w:themeColor="accent1" w:themeShade="BF"/>
          <w:kern w:val="0"/>
          <w:sz w:val="28"/>
          <w:szCs w:val="28"/>
          <w:lang w:eastAsia="es-CR"/>
        </w:rPr>
      </w:pPr>
    </w:p>
    <w:p w14:paraId="03CAB020" w14:textId="7BD28927" w:rsidR="00E471D4" w:rsidRDefault="00E471D4" w:rsidP="00F67C5E">
      <w:pPr>
        <w:pStyle w:val="Ttulo1"/>
        <w:numPr>
          <w:ilvl w:val="0"/>
          <w:numId w:val="2"/>
        </w:numPr>
        <w:spacing w:before="0" w:beforeAutospacing="0" w:after="0" w:afterAutospacing="0" w:line="276" w:lineRule="auto"/>
        <w:ind w:left="426" w:hanging="426"/>
        <w:rPr>
          <w:rFonts w:ascii="Century Gothic" w:eastAsiaTheme="majorEastAsia" w:hAnsi="Century Gothic" w:cstheme="majorBidi"/>
          <w:color w:val="365F91" w:themeColor="accent1" w:themeShade="BF"/>
          <w:kern w:val="0"/>
          <w:sz w:val="28"/>
          <w:szCs w:val="28"/>
          <w:lang w:eastAsia="es-CR"/>
        </w:rPr>
      </w:pPr>
      <w:bookmarkStart w:id="1" w:name="_Toc37177672"/>
      <w:r>
        <w:rPr>
          <w:rFonts w:ascii="Century Gothic" w:eastAsiaTheme="majorEastAsia" w:hAnsi="Century Gothic" w:cstheme="majorBidi"/>
          <w:color w:val="365F91" w:themeColor="accent1" w:themeShade="BF"/>
          <w:kern w:val="0"/>
          <w:sz w:val="28"/>
          <w:szCs w:val="28"/>
          <w:lang w:eastAsia="es-CR"/>
        </w:rPr>
        <w:t>Introducción</w:t>
      </w:r>
      <w:bookmarkEnd w:id="1"/>
    </w:p>
    <w:p w14:paraId="5820C280" w14:textId="77777777" w:rsidR="00E471D4" w:rsidRDefault="00E471D4" w:rsidP="00E471D4">
      <w:pPr>
        <w:rPr>
          <w:lang w:eastAsia="es-CR"/>
        </w:rPr>
      </w:pPr>
    </w:p>
    <w:p w14:paraId="6695BE33" w14:textId="0BE5844A" w:rsidR="00E471D4" w:rsidRDefault="00E93463" w:rsidP="006A30AC">
      <w:r>
        <w:t xml:space="preserve">El Superintendente, mediante Acuerdo </w:t>
      </w:r>
      <w:r w:rsidRPr="00EC71DA">
        <w:t>SGS-A-0068-2019</w:t>
      </w:r>
      <w:r>
        <w:t xml:space="preserve"> del 3 de diciembre de 2019, modificó</w:t>
      </w:r>
      <w:r w:rsidRPr="003F32EB">
        <w:t xml:space="preserve"> el Capítulo 4 del </w:t>
      </w:r>
      <w:r w:rsidRPr="00E471D4">
        <w:rPr>
          <w:i/>
        </w:rPr>
        <w:t>Acuerdo SGS-DES-A-029-2013 Lineamientos generales para la aplicación del reglamento sobre la solvencia de entidades de seguros y reaseguros</w:t>
      </w:r>
      <w:r w:rsidR="0024617A">
        <w:rPr>
          <w:i/>
        </w:rPr>
        <w:t>,</w:t>
      </w:r>
      <w:r w:rsidRPr="003F32EB">
        <w:t xml:space="preserve"> </w:t>
      </w:r>
      <w:r w:rsidR="0024617A">
        <w:t>para establecer</w:t>
      </w:r>
      <w:r>
        <w:t xml:space="preserve"> una metodología </w:t>
      </w:r>
      <w:r w:rsidR="0024617A">
        <w:t xml:space="preserve">de estimación de </w:t>
      </w:r>
      <w:r>
        <w:t xml:space="preserve">la </w:t>
      </w:r>
      <w:r w:rsidRPr="002228D9">
        <w:t>curva de tipos de interés técnico para el cálculo de la provisión matemática de los seguros personales</w:t>
      </w:r>
      <w:r>
        <w:t xml:space="preserve"> en colones</w:t>
      </w:r>
      <w:r w:rsidR="006A30AC">
        <w:t xml:space="preserve">. </w:t>
      </w:r>
      <w:r>
        <w:t xml:space="preserve">Lo anterior, </w:t>
      </w:r>
      <w:r w:rsidR="006A30AC">
        <w:t>en concordancia con las mejores</w:t>
      </w:r>
      <w:r>
        <w:t xml:space="preserve"> </w:t>
      </w:r>
      <w:r w:rsidR="006A30AC" w:rsidRPr="006A30AC">
        <w:t xml:space="preserve">prácticas internacionales en materia </w:t>
      </w:r>
      <w:r w:rsidR="00525216">
        <w:t xml:space="preserve">de </w:t>
      </w:r>
      <w:r w:rsidR="006A30AC" w:rsidRPr="006A30AC">
        <w:t>estimación de provisiones técnicas</w:t>
      </w:r>
      <w:r w:rsidR="00525216">
        <w:t>.</w:t>
      </w:r>
    </w:p>
    <w:p w14:paraId="00D0D55B" w14:textId="77777777" w:rsidR="00E471D4" w:rsidRDefault="00E471D4" w:rsidP="00E471D4">
      <w:pPr>
        <w:rPr>
          <w:lang w:eastAsia="es-CR"/>
        </w:rPr>
      </w:pPr>
    </w:p>
    <w:p w14:paraId="15322911" w14:textId="1A299806" w:rsidR="00447568" w:rsidRDefault="00D14DC7" w:rsidP="00E471D4">
      <w:pPr>
        <w:rPr>
          <w:lang w:eastAsia="es-CR"/>
        </w:rPr>
      </w:pPr>
      <w:r>
        <w:rPr>
          <w:lang w:eastAsia="es-CR"/>
        </w:rPr>
        <w:t xml:space="preserve">La </w:t>
      </w:r>
      <w:r w:rsidR="002714E0">
        <w:rPr>
          <w:lang w:eastAsia="es-CR"/>
        </w:rPr>
        <w:t xml:space="preserve">aplicación de la nueva </w:t>
      </w:r>
      <w:r w:rsidR="00525216">
        <w:rPr>
          <w:lang w:eastAsia="es-CR"/>
        </w:rPr>
        <w:t xml:space="preserve">metodología </w:t>
      </w:r>
      <w:r>
        <w:rPr>
          <w:lang w:eastAsia="es-CR"/>
        </w:rPr>
        <w:t xml:space="preserve">inició </w:t>
      </w:r>
      <w:r w:rsidR="00E471D4">
        <w:rPr>
          <w:lang w:eastAsia="es-CR"/>
        </w:rPr>
        <w:t>a partir de</w:t>
      </w:r>
      <w:r w:rsidR="00E471D4" w:rsidRPr="00E471D4">
        <w:rPr>
          <w:lang w:eastAsia="es-CR"/>
        </w:rPr>
        <w:t>l cierre de diciembre de 201</w:t>
      </w:r>
      <w:r w:rsidR="00525216">
        <w:rPr>
          <w:lang w:eastAsia="es-CR"/>
        </w:rPr>
        <w:t>9</w:t>
      </w:r>
      <w:r w:rsidR="00E471D4">
        <w:rPr>
          <w:rStyle w:val="Refdenotaalpie"/>
          <w:lang w:eastAsia="es-CR"/>
        </w:rPr>
        <w:footnoteReference w:id="1"/>
      </w:r>
      <w:r w:rsidR="00525216">
        <w:rPr>
          <w:lang w:eastAsia="es-CR"/>
        </w:rPr>
        <w:t xml:space="preserve"> </w:t>
      </w:r>
      <w:r>
        <w:rPr>
          <w:lang w:eastAsia="es-CR"/>
        </w:rPr>
        <w:t>con</w:t>
      </w:r>
      <w:r w:rsidR="00525216">
        <w:rPr>
          <w:lang w:eastAsia="es-CR"/>
        </w:rPr>
        <w:t xml:space="preserve"> l</w:t>
      </w:r>
      <w:r w:rsidR="00E471D4" w:rsidRPr="00E471D4">
        <w:rPr>
          <w:lang w:eastAsia="es-CR"/>
        </w:rPr>
        <w:t>a curva de tipos de interés técnico al 31 de diciembre de 2018</w:t>
      </w:r>
      <w:r w:rsidR="002A097F">
        <w:rPr>
          <w:lang w:eastAsia="es-CR"/>
        </w:rPr>
        <w:t>. De conformidad con la normativa vigente</w:t>
      </w:r>
      <w:r w:rsidR="00E471D4" w:rsidRPr="00E471D4">
        <w:rPr>
          <w:lang w:eastAsia="es-CR"/>
        </w:rPr>
        <w:t xml:space="preserve">, </w:t>
      </w:r>
      <w:r w:rsidR="005E0AF7">
        <w:rPr>
          <w:lang w:eastAsia="es-CR"/>
        </w:rPr>
        <w:t xml:space="preserve">se calculó una nueva </w:t>
      </w:r>
      <w:r w:rsidR="005E0AF7" w:rsidRPr="00E471D4">
        <w:rPr>
          <w:lang w:eastAsia="es-CR"/>
        </w:rPr>
        <w:t>curva de tipos de interés técnico al 31 de diciembre de 20</w:t>
      </w:r>
      <w:r w:rsidR="004503AC">
        <w:rPr>
          <w:lang w:eastAsia="es-CR"/>
        </w:rPr>
        <w:t>20</w:t>
      </w:r>
      <w:r w:rsidR="005E0AF7">
        <w:rPr>
          <w:lang w:eastAsia="es-CR"/>
        </w:rPr>
        <w:t xml:space="preserve">, la cual </w:t>
      </w:r>
      <w:r w:rsidR="005E0AF7" w:rsidRPr="002714E0">
        <w:rPr>
          <w:lang w:eastAsia="es-CR"/>
        </w:rPr>
        <w:t xml:space="preserve">debe ser utilizada para los siguientes 12 meses a partir </w:t>
      </w:r>
      <w:r w:rsidR="00CE7B37" w:rsidRPr="002714E0">
        <w:rPr>
          <w:lang w:eastAsia="es-CR"/>
        </w:rPr>
        <w:t>de abril</w:t>
      </w:r>
      <w:r w:rsidR="00E52350" w:rsidRPr="002714E0">
        <w:rPr>
          <w:lang w:eastAsia="es-CR"/>
        </w:rPr>
        <w:t xml:space="preserve"> hasta el </w:t>
      </w:r>
      <w:r w:rsidR="00CE7B37" w:rsidRPr="002714E0">
        <w:rPr>
          <w:lang w:eastAsia="es-CR"/>
        </w:rPr>
        <w:t xml:space="preserve">cierre </w:t>
      </w:r>
      <w:r w:rsidR="000305C3" w:rsidRPr="002714E0">
        <w:rPr>
          <w:lang w:eastAsia="es-CR"/>
        </w:rPr>
        <w:t xml:space="preserve">contable </w:t>
      </w:r>
      <w:r w:rsidR="00E52350" w:rsidRPr="002714E0">
        <w:rPr>
          <w:lang w:eastAsia="es-CR"/>
        </w:rPr>
        <w:t>de</w:t>
      </w:r>
      <w:r w:rsidR="005E0AF7" w:rsidRPr="002714E0">
        <w:rPr>
          <w:lang w:eastAsia="es-CR"/>
        </w:rPr>
        <w:t xml:space="preserve"> 30 de marzo de 202</w:t>
      </w:r>
      <w:r w:rsidR="004503AC" w:rsidRPr="002714E0">
        <w:rPr>
          <w:lang w:eastAsia="es-CR"/>
        </w:rPr>
        <w:t>2</w:t>
      </w:r>
      <w:r w:rsidR="005E0AF7" w:rsidRPr="002714E0">
        <w:rPr>
          <w:lang w:eastAsia="es-CR"/>
        </w:rPr>
        <w:t>.</w:t>
      </w:r>
      <w:r w:rsidR="0064736C">
        <w:rPr>
          <w:lang w:eastAsia="es-CR"/>
        </w:rPr>
        <w:t xml:space="preserve"> La información </w:t>
      </w:r>
      <w:r w:rsidR="00E471D4" w:rsidRPr="00E471D4">
        <w:rPr>
          <w:lang w:eastAsia="es-CR"/>
        </w:rPr>
        <w:t>se encuentra publicad</w:t>
      </w:r>
      <w:r w:rsidR="0056279B">
        <w:rPr>
          <w:lang w:eastAsia="es-CR"/>
        </w:rPr>
        <w:t>a en el sitio web de la Sugese</w:t>
      </w:r>
      <w:r w:rsidR="00E471D4" w:rsidRPr="00E471D4">
        <w:rPr>
          <w:lang w:eastAsia="es-CR"/>
        </w:rPr>
        <w:t>.</w:t>
      </w:r>
    </w:p>
    <w:p w14:paraId="4AAB4D79" w14:textId="77777777" w:rsidR="00447568" w:rsidRDefault="00447568" w:rsidP="00E471D4">
      <w:pPr>
        <w:rPr>
          <w:lang w:eastAsia="es-CR"/>
        </w:rPr>
      </w:pPr>
    </w:p>
    <w:p w14:paraId="61076DA8" w14:textId="267D9D45" w:rsidR="00E471D4" w:rsidRDefault="0056279B" w:rsidP="00E471D4">
      <w:pPr>
        <w:rPr>
          <w:lang w:eastAsia="es-CR"/>
        </w:rPr>
      </w:pPr>
      <w:r>
        <w:rPr>
          <w:lang w:eastAsia="es-CR"/>
        </w:rPr>
        <w:t xml:space="preserve">La presente guía describe el procedimiento y la información utilizada para </w:t>
      </w:r>
      <w:r w:rsidR="00B83804">
        <w:rPr>
          <w:lang w:eastAsia="es-CR"/>
        </w:rPr>
        <w:t xml:space="preserve">el cálculo de </w:t>
      </w:r>
      <w:r w:rsidR="0064736C">
        <w:rPr>
          <w:lang w:eastAsia="es-CR"/>
        </w:rPr>
        <w:t>la curva con corte al 31 de diciembre de 20</w:t>
      </w:r>
      <w:r w:rsidR="004503AC">
        <w:rPr>
          <w:lang w:eastAsia="es-CR"/>
        </w:rPr>
        <w:t>20</w:t>
      </w:r>
      <w:r w:rsidR="0064736C">
        <w:rPr>
          <w:lang w:eastAsia="es-CR"/>
        </w:rPr>
        <w:t>.</w:t>
      </w:r>
    </w:p>
    <w:p w14:paraId="2EB8EA50" w14:textId="77777777" w:rsidR="00483AEC" w:rsidRDefault="00483AEC" w:rsidP="00E471D4">
      <w:pPr>
        <w:rPr>
          <w:lang w:eastAsia="es-CR"/>
        </w:rPr>
      </w:pPr>
    </w:p>
    <w:p w14:paraId="796E8785" w14:textId="21EF6088" w:rsidR="00483AEC" w:rsidRDefault="00483AEC" w:rsidP="00E471D4">
      <w:pPr>
        <w:rPr>
          <w:lang w:eastAsia="es-CR"/>
        </w:rPr>
      </w:pPr>
      <w:r w:rsidRPr="00483AEC">
        <w:rPr>
          <w:lang w:eastAsia="es-CR"/>
        </w:rPr>
        <w:t xml:space="preserve">Si tiene dudas, consultas o comentarios, escríbanos a la dirección electrónica </w:t>
      </w:r>
      <w:r w:rsidR="00A95C52">
        <w:rPr>
          <w:lang w:eastAsia="es-CR"/>
        </w:rPr>
        <w:t xml:space="preserve">de la Superintendencia </w:t>
      </w:r>
      <w:hyperlink r:id="rId13" w:history="1">
        <w:r w:rsidR="00A95C52" w:rsidRPr="00EA6675">
          <w:rPr>
            <w:rStyle w:val="Hipervnculo"/>
            <w:lang w:eastAsia="es-CR"/>
          </w:rPr>
          <w:t>sugese@sugese.fi.cr</w:t>
        </w:r>
      </w:hyperlink>
      <w:r w:rsidR="00A95C52">
        <w:rPr>
          <w:lang w:eastAsia="es-CR"/>
        </w:rPr>
        <w:t xml:space="preserve"> o llámenos al teléfono 2243-5108 </w:t>
      </w:r>
      <w:r w:rsidRPr="00483AEC">
        <w:rPr>
          <w:lang w:eastAsia="es-CR"/>
        </w:rPr>
        <w:t>y con gusto le atenderemos</w:t>
      </w:r>
      <w:r w:rsidR="00A95C52">
        <w:rPr>
          <w:lang w:eastAsia="es-CR"/>
        </w:rPr>
        <w:t>.</w:t>
      </w:r>
    </w:p>
    <w:p w14:paraId="7756FDCC" w14:textId="77777777" w:rsidR="00A95C52" w:rsidRDefault="00A95C52" w:rsidP="00E471D4">
      <w:pPr>
        <w:rPr>
          <w:lang w:eastAsia="es-CR"/>
        </w:rPr>
      </w:pPr>
    </w:p>
    <w:p w14:paraId="5F536462" w14:textId="77777777" w:rsidR="00A95C52" w:rsidRDefault="00A95C52" w:rsidP="00E471D4">
      <w:pPr>
        <w:rPr>
          <w:lang w:eastAsia="es-CR"/>
        </w:rPr>
      </w:pPr>
    </w:p>
    <w:p w14:paraId="1D3EE563" w14:textId="77777777" w:rsidR="00A95C52" w:rsidRDefault="00A95C52" w:rsidP="00E471D4">
      <w:pPr>
        <w:rPr>
          <w:lang w:eastAsia="es-CR"/>
        </w:rPr>
      </w:pPr>
    </w:p>
    <w:p w14:paraId="10F2BC04" w14:textId="77777777" w:rsidR="00A95C52" w:rsidRDefault="00A95C52" w:rsidP="00E471D4">
      <w:pPr>
        <w:rPr>
          <w:lang w:eastAsia="es-CR"/>
        </w:rPr>
      </w:pPr>
    </w:p>
    <w:p w14:paraId="4B23B002" w14:textId="77777777" w:rsidR="00A95C52" w:rsidRDefault="00A95C52" w:rsidP="00E471D4">
      <w:pPr>
        <w:rPr>
          <w:lang w:eastAsia="es-CR"/>
        </w:rPr>
      </w:pPr>
    </w:p>
    <w:p w14:paraId="2F4F1555" w14:textId="77777777" w:rsidR="0064736C" w:rsidRDefault="0064736C" w:rsidP="00E471D4">
      <w:pPr>
        <w:rPr>
          <w:lang w:eastAsia="es-CR"/>
        </w:rPr>
      </w:pPr>
    </w:p>
    <w:p w14:paraId="07F22058" w14:textId="77777777" w:rsidR="0064736C" w:rsidRDefault="0064736C" w:rsidP="00E471D4">
      <w:pPr>
        <w:rPr>
          <w:lang w:eastAsia="es-CR"/>
        </w:rPr>
      </w:pPr>
    </w:p>
    <w:p w14:paraId="6ECF87DD" w14:textId="77777777" w:rsidR="0064736C" w:rsidRDefault="0064736C" w:rsidP="00E471D4">
      <w:pPr>
        <w:rPr>
          <w:lang w:eastAsia="es-CR"/>
        </w:rPr>
      </w:pPr>
    </w:p>
    <w:p w14:paraId="2A9C1675" w14:textId="77777777" w:rsidR="0064736C" w:rsidRDefault="0064736C" w:rsidP="00E471D4">
      <w:pPr>
        <w:rPr>
          <w:lang w:eastAsia="es-CR"/>
        </w:rPr>
      </w:pPr>
    </w:p>
    <w:p w14:paraId="2C16E4B6" w14:textId="4F30CF62" w:rsidR="00871592" w:rsidRPr="00871592" w:rsidRDefault="00871592" w:rsidP="00F67C5E">
      <w:pPr>
        <w:pStyle w:val="Ttulo1"/>
        <w:numPr>
          <w:ilvl w:val="0"/>
          <w:numId w:val="2"/>
        </w:numPr>
        <w:spacing w:before="0" w:beforeAutospacing="0" w:after="0" w:afterAutospacing="0" w:line="276" w:lineRule="auto"/>
        <w:ind w:left="426" w:hanging="426"/>
        <w:rPr>
          <w:rFonts w:ascii="Century Gothic" w:eastAsiaTheme="majorEastAsia" w:hAnsi="Century Gothic" w:cstheme="majorBidi"/>
          <w:color w:val="365F91" w:themeColor="accent1" w:themeShade="BF"/>
          <w:kern w:val="0"/>
          <w:sz w:val="28"/>
          <w:szCs w:val="28"/>
          <w:lang w:eastAsia="es-CR"/>
        </w:rPr>
      </w:pPr>
      <w:bookmarkStart w:id="2" w:name="_Toc37177673"/>
      <w:r w:rsidRPr="00871592">
        <w:rPr>
          <w:rFonts w:ascii="Century Gothic" w:eastAsiaTheme="majorEastAsia" w:hAnsi="Century Gothic" w:cstheme="majorBidi"/>
          <w:color w:val="365F91" w:themeColor="accent1" w:themeShade="BF"/>
          <w:kern w:val="0"/>
          <w:sz w:val="28"/>
          <w:szCs w:val="28"/>
          <w:lang w:eastAsia="es-CR"/>
        </w:rPr>
        <w:t>Cálculo de la curva de tipos de interés técnico 20</w:t>
      </w:r>
      <w:bookmarkEnd w:id="2"/>
      <w:r w:rsidR="004503AC">
        <w:rPr>
          <w:rFonts w:ascii="Century Gothic" w:eastAsiaTheme="majorEastAsia" w:hAnsi="Century Gothic" w:cstheme="majorBidi"/>
          <w:color w:val="365F91" w:themeColor="accent1" w:themeShade="BF"/>
          <w:kern w:val="0"/>
          <w:sz w:val="28"/>
          <w:szCs w:val="28"/>
          <w:lang w:eastAsia="es-CR"/>
        </w:rPr>
        <w:t>20</w:t>
      </w:r>
    </w:p>
    <w:p w14:paraId="53C9026B" w14:textId="77777777" w:rsidR="00FF37F6" w:rsidRPr="00F162F1" w:rsidRDefault="00FF37F6" w:rsidP="00F67C5E">
      <w:pPr>
        <w:rPr>
          <w:lang w:eastAsia="es-CR"/>
        </w:rPr>
      </w:pPr>
    </w:p>
    <w:p w14:paraId="43A13575" w14:textId="2A798D78" w:rsidR="00047BCB" w:rsidRDefault="002228D9" w:rsidP="00A95C52">
      <w:pPr>
        <w:pStyle w:val="Encabezado"/>
        <w:spacing w:line="276" w:lineRule="auto"/>
      </w:pPr>
      <w:r w:rsidRPr="002228D9">
        <w:t>La curva de tipos de interés técnico se establece para el cálculo de la provisión matemática de los seguros personales</w:t>
      </w:r>
      <w:r w:rsidR="005654F7">
        <w:t xml:space="preserve"> en colones</w:t>
      </w:r>
      <w:r w:rsidRPr="002228D9">
        <w:t xml:space="preserve">, conforme con el Acuerdo SGS-DES-A-029-2013 </w:t>
      </w:r>
      <w:r w:rsidRPr="005654F7">
        <w:rPr>
          <w:i/>
        </w:rPr>
        <w:t xml:space="preserve">Lineamientos </w:t>
      </w:r>
      <w:r w:rsidR="005654F7" w:rsidRPr="005654F7">
        <w:rPr>
          <w:i/>
        </w:rPr>
        <w:t>G</w:t>
      </w:r>
      <w:r w:rsidRPr="005654F7">
        <w:rPr>
          <w:i/>
        </w:rPr>
        <w:t xml:space="preserve">enerales para la </w:t>
      </w:r>
      <w:r w:rsidR="005654F7" w:rsidRPr="005654F7">
        <w:rPr>
          <w:i/>
        </w:rPr>
        <w:t>A</w:t>
      </w:r>
      <w:r w:rsidRPr="005654F7">
        <w:rPr>
          <w:i/>
        </w:rPr>
        <w:t>plicación del</w:t>
      </w:r>
      <w:r w:rsidRPr="002228D9">
        <w:t xml:space="preserve"> </w:t>
      </w:r>
      <w:r w:rsidR="005654F7">
        <w:rPr>
          <w:i/>
        </w:rPr>
        <w:t>Reglamento sobre la S</w:t>
      </w:r>
      <w:r w:rsidRPr="005654F7">
        <w:rPr>
          <w:i/>
        </w:rPr>
        <w:t>olvencia de entidades de seguros y reaseguros</w:t>
      </w:r>
      <w:r w:rsidR="005654F7">
        <w:rPr>
          <w:i/>
        </w:rPr>
        <w:t xml:space="preserve">. </w:t>
      </w:r>
    </w:p>
    <w:p w14:paraId="511D7A62" w14:textId="77777777" w:rsidR="00AC1648" w:rsidRDefault="00AC1648" w:rsidP="00AC1648"/>
    <w:p w14:paraId="563BFBE7" w14:textId="193B5972" w:rsidR="00C74160" w:rsidRDefault="00C74160" w:rsidP="00F67C5E">
      <w:pPr>
        <w:pStyle w:val="Prrafodelista"/>
        <w:numPr>
          <w:ilvl w:val="0"/>
          <w:numId w:val="30"/>
        </w:numPr>
        <w:spacing w:after="0"/>
      </w:pPr>
      <w:bookmarkStart w:id="3" w:name="_Toc37177674"/>
      <w:r w:rsidRPr="00C74160">
        <w:rPr>
          <w:rStyle w:val="Ttulo2Car"/>
          <w:rFonts w:ascii="Century Gothic" w:hAnsi="Century Gothic"/>
          <w:b/>
          <w:sz w:val="24"/>
        </w:rPr>
        <w:t>Curva de rendimiento soberana</w:t>
      </w:r>
      <w:bookmarkEnd w:id="3"/>
    </w:p>
    <w:p w14:paraId="73BB94D3" w14:textId="77777777" w:rsidR="00F67C5E" w:rsidRDefault="00F67C5E" w:rsidP="00F67C5E"/>
    <w:p w14:paraId="7467104E" w14:textId="296E2408" w:rsidR="00C74160" w:rsidRDefault="00047BCB" w:rsidP="00F67C5E">
      <w:r w:rsidRPr="00047BCB">
        <w:t xml:space="preserve">Para estimar la curva de tipos de interés técnico, se parte de los tipos spot de los bonos cero cupón con vencimiento desde un año hasta el </w:t>
      </w:r>
      <w:r w:rsidR="003B06C1">
        <w:t xml:space="preserve">último </w:t>
      </w:r>
      <w:r w:rsidRPr="00047BCB">
        <w:t xml:space="preserve">punto líquido de la misma y </w:t>
      </w:r>
      <w:r w:rsidR="002714E0">
        <w:t>luego</w:t>
      </w:r>
      <w:r w:rsidRPr="00047BCB">
        <w:t xml:space="preserve"> se e</w:t>
      </w:r>
      <w:r w:rsidR="002714E0">
        <w:t xml:space="preserve">stiman </w:t>
      </w:r>
      <w:r w:rsidRPr="00047BCB">
        <w:t xml:space="preserve">los tipos spot de bonos con vencimientos posteriores. Para esto, se toman como base los datos históricos de la curva de rendimiento soberana en colones que calcula y publica el Banco Central de Costa Rica </w:t>
      </w:r>
      <w:r w:rsidR="00EB3794">
        <w:t>y m</w:t>
      </w:r>
      <w:r w:rsidR="00C74160">
        <w:t xml:space="preserve">ediante el método del VaR Histórico al 99%, se identifica la curva que muestre el valor promedio menor de todos sus nodos. </w:t>
      </w:r>
      <w:r w:rsidR="003B06C1">
        <w:t>Para identificar los puntos líquidos se extraen los tres nodos que corresponden a los rendimientos a uno, dos y tres años plazo.</w:t>
      </w:r>
    </w:p>
    <w:p w14:paraId="61D1FF14" w14:textId="77777777" w:rsidR="00D90068" w:rsidRDefault="00D90068" w:rsidP="00F67C5E"/>
    <w:p w14:paraId="12E58D05" w14:textId="366F7D69" w:rsidR="00A56442" w:rsidRDefault="003A2379" w:rsidP="00F67C5E">
      <w:pPr>
        <w:tabs>
          <w:tab w:val="left" w:pos="7513"/>
        </w:tabs>
      </w:pPr>
      <w:r>
        <w:t xml:space="preserve">Para construir la </w:t>
      </w:r>
      <w:r w:rsidRPr="003A2379">
        <w:t>curva de tipos de interés técnico 20</w:t>
      </w:r>
      <w:r w:rsidR="004503AC">
        <w:t>20</w:t>
      </w:r>
      <w:r>
        <w:t xml:space="preserve"> se utilizó el histórico de las curvas </w:t>
      </w:r>
      <w:r w:rsidRPr="00047BCB">
        <w:t>soberana</w:t>
      </w:r>
      <w:r>
        <w:t>s</w:t>
      </w:r>
      <w:r w:rsidRPr="00047BCB">
        <w:t xml:space="preserve"> en colones</w:t>
      </w:r>
      <w:r>
        <w:t xml:space="preserve"> de enero del 2015 a diciembre del 20</w:t>
      </w:r>
      <w:r w:rsidR="004503AC">
        <w:t>20</w:t>
      </w:r>
      <w:r w:rsidR="00A86B20">
        <w:t xml:space="preserve"> (ver detalle en</w:t>
      </w:r>
      <w:r w:rsidR="00D90068">
        <w:t xml:space="preserve"> anexo </w:t>
      </w:r>
      <w:r w:rsidR="000E5BD8" w:rsidRPr="000E5BD8">
        <w:t>1</w:t>
      </w:r>
      <w:r w:rsidR="00A86B20">
        <w:t>)</w:t>
      </w:r>
      <w:r w:rsidR="00A56442">
        <w:t xml:space="preserve"> y se obtuvo lo siguiente:</w:t>
      </w:r>
    </w:p>
    <w:p w14:paraId="73DCA2D3" w14:textId="77777777" w:rsidR="00A56442" w:rsidRDefault="00A56442" w:rsidP="00F67C5E">
      <w:pPr>
        <w:tabs>
          <w:tab w:val="left" w:pos="7513"/>
        </w:tabs>
      </w:pPr>
    </w:p>
    <w:p w14:paraId="6A242C98" w14:textId="03C7958A" w:rsidR="00A56442" w:rsidRDefault="00B72547" w:rsidP="008E547F">
      <w:pPr>
        <w:pStyle w:val="Prrafodelista"/>
        <w:numPr>
          <w:ilvl w:val="0"/>
          <w:numId w:val="33"/>
        </w:numPr>
        <w:tabs>
          <w:tab w:val="left" w:pos="7513"/>
        </w:tabs>
      </w:pPr>
      <w:r>
        <w:t>E</w:t>
      </w:r>
      <w:r w:rsidR="001F1442" w:rsidRPr="001F1442">
        <w:t xml:space="preserve">l valor </w:t>
      </w:r>
      <w:r>
        <w:t xml:space="preserve">mínimo y máximo dentro del </w:t>
      </w:r>
      <w:r w:rsidR="001F1442" w:rsidRPr="001F1442">
        <w:t xml:space="preserve">cual se encuentra </w:t>
      </w:r>
      <w:r>
        <w:t>el 99%</w:t>
      </w:r>
      <w:r w:rsidR="001F1442" w:rsidRPr="001F1442">
        <w:t xml:space="preserve"> de </w:t>
      </w:r>
      <w:r>
        <w:t xml:space="preserve">las </w:t>
      </w:r>
      <w:r w:rsidR="001F1442" w:rsidRPr="001F1442">
        <w:t xml:space="preserve">observaciones </w:t>
      </w:r>
      <w:r w:rsidR="00A56442">
        <w:t xml:space="preserve">(valores promedio de las tasas de interés) </w:t>
      </w:r>
      <w:r w:rsidR="00A86B20">
        <w:t xml:space="preserve">dio como </w:t>
      </w:r>
      <w:r w:rsidR="00A86B20" w:rsidRPr="007A317A">
        <w:t xml:space="preserve">resultado </w:t>
      </w:r>
      <w:r w:rsidR="006E3825" w:rsidRPr="007A317A">
        <w:t>6,</w:t>
      </w:r>
      <w:r w:rsidR="007A317A" w:rsidRPr="007A317A">
        <w:t>61</w:t>
      </w:r>
      <w:r w:rsidR="006E3825" w:rsidRPr="007A317A">
        <w:t>% y 11,0</w:t>
      </w:r>
      <w:r w:rsidR="007A317A" w:rsidRPr="007A317A">
        <w:t>7</w:t>
      </w:r>
      <w:r w:rsidR="006E3825" w:rsidRPr="007A317A">
        <w:t>%,</w:t>
      </w:r>
      <w:r w:rsidR="00A56442">
        <w:t xml:space="preserve"> respectivamente.</w:t>
      </w:r>
    </w:p>
    <w:p w14:paraId="21A92487" w14:textId="77777777" w:rsidR="00A56442" w:rsidRDefault="00A56442" w:rsidP="00A56442">
      <w:pPr>
        <w:pStyle w:val="Prrafodelista"/>
        <w:tabs>
          <w:tab w:val="left" w:pos="7513"/>
        </w:tabs>
      </w:pPr>
    </w:p>
    <w:p w14:paraId="5033828C" w14:textId="03970813" w:rsidR="00D90068" w:rsidRPr="008F6F34" w:rsidRDefault="00D90068" w:rsidP="00A56442">
      <w:pPr>
        <w:pStyle w:val="Prrafodelista"/>
        <w:numPr>
          <w:ilvl w:val="0"/>
          <w:numId w:val="33"/>
        </w:numPr>
        <w:tabs>
          <w:tab w:val="left" w:pos="7513"/>
        </w:tabs>
        <w:spacing w:after="0"/>
      </w:pPr>
      <w:r>
        <w:t>La curva que resultó con el promedio más bajo de rendimientos corresponde a la curva de la semana</w:t>
      </w:r>
      <w:r w:rsidR="000E5BD8">
        <w:t xml:space="preserve"> </w:t>
      </w:r>
      <w:r w:rsidR="000E5BD8" w:rsidRPr="000E5BD8">
        <w:t xml:space="preserve">del </w:t>
      </w:r>
      <w:r w:rsidR="007A317A" w:rsidRPr="007A317A">
        <w:t>11</w:t>
      </w:r>
      <w:r w:rsidR="0050356F" w:rsidRPr="007A317A">
        <w:t xml:space="preserve"> al </w:t>
      </w:r>
      <w:r w:rsidR="007A317A" w:rsidRPr="007A317A">
        <w:t>17</w:t>
      </w:r>
      <w:r w:rsidR="0050356F" w:rsidRPr="007A317A">
        <w:t xml:space="preserve"> de </w:t>
      </w:r>
      <w:r w:rsidR="007A317A" w:rsidRPr="007A317A">
        <w:t>marzo</w:t>
      </w:r>
      <w:r w:rsidR="0050356F" w:rsidRPr="007A317A">
        <w:t xml:space="preserve"> del </w:t>
      </w:r>
      <w:r w:rsidR="0050356F" w:rsidRPr="008F6F34">
        <w:t>20</w:t>
      </w:r>
      <w:r w:rsidR="007A317A" w:rsidRPr="008F6F34">
        <w:t>20</w:t>
      </w:r>
      <w:r w:rsidR="008F6F34" w:rsidRPr="008F6F34">
        <w:t>, la cual s</w:t>
      </w:r>
      <w:r w:rsidR="003A2379" w:rsidRPr="008F6F34">
        <w:t>e muestra en el siguiente cuadro.</w:t>
      </w:r>
    </w:p>
    <w:p w14:paraId="376F5F23" w14:textId="77777777" w:rsidR="0050356F" w:rsidRPr="0050356F" w:rsidRDefault="0050356F" w:rsidP="0050356F">
      <w:pPr>
        <w:pStyle w:val="Prrafodelista"/>
        <w:tabs>
          <w:tab w:val="left" w:pos="7513"/>
        </w:tabs>
        <w:spacing w:after="0"/>
        <w:rPr>
          <w:sz w:val="20"/>
        </w:rPr>
      </w:pPr>
    </w:p>
    <w:p w14:paraId="121D0B48" w14:textId="77777777" w:rsidR="0050356F" w:rsidRPr="008A0AEC" w:rsidRDefault="0050356F" w:rsidP="0050356F">
      <w:pPr>
        <w:spacing w:line="240" w:lineRule="auto"/>
        <w:jc w:val="center"/>
        <w:rPr>
          <w:b/>
        </w:rPr>
      </w:pPr>
      <w:r w:rsidRPr="008A0AEC">
        <w:rPr>
          <w:b/>
        </w:rPr>
        <w:t>Cuadro 1</w:t>
      </w:r>
    </w:p>
    <w:p w14:paraId="7F467223" w14:textId="77777777" w:rsidR="0050356F" w:rsidRPr="008A0AEC" w:rsidRDefault="0050356F" w:rsidP="0050356F">
      <w:pPr>
        <w:spacing w:line="240" w:lineRule="auto"/>
        <w:jc w:val="center"/>
      </w:pPr>
      <w:r w:rsidRPr="008A0AEC">
        <w:t>Curva Soberana Colones</w:t>
      </w:r>
    </w:p>
    <w:p w14:paraId="4C95B6A1" w14:textId="5238CD76" w:rsidR="0050356F" w:rsidRPr="008A0AEC" w:rsidRDefault="0050356F" w:rsidP="0050356F">
      <w:pPr>
        <w:spacing w:line="240" w:lineRule="auto"/>
        <w:jc w:val="center"/>
      </w:pPr>
      <w:r w:rsidRPr="008A0AEC">
        <w:t xml:space="preserve">Semana del </w:t>
      </w:r>
      <w:r w:rsidR="007A317A" w:rsidRPr="007A317A">
        <w:t>11 al 17 de marzo del 2020</w:t>
      </w:r>
    </w:p>
    <w:tbl>
      <w:tblPr>
        <w:tblW w:w="4972" w:type="pct"/>
        <w:tblInd w:w="5" w:type="dxa"/>
        <w:tblLayout w:type="fixed"/>
        <w:tblCellMar>
          <w:left w:w="70" w:type="dxa"/>
          <w:right w:w="70" w:type="dxa"/>
        </w:tblCellMar>
        <w:tblLook w:val="04A0" w:firstRow="1" w:lastRow="0" w:firstColumn="1" w:lastColumn="0" w:noHBand="0" w:noVBand="1"/>
      </w:tblPr>
      <w:tblGrid>
        <w:gridCol w:w="1255"/>
        <w:gridCol w:w="1254"/>
        <w:gridCol w:w="1254"/>
        <w:gridCol w:w="1254"/>
        <w:gridCol w:w="1254"/>
        <w:gridCol w:w="1254"/>
        <w:gridCol w:w="1254"/>
      </w:tblGrid>
      <w:tr w:rsidR="0050356F" w:rsidRPr="00D90068" w14:paraId="643C21CC" w14:textId="77777777" w:rsidTr="007A317A">
        <w:trPr>
          <w:trHeight w:val="255"/>
        </w:trPr>
        <w:tc>
          <w:tcPr>
            <w:tcW w:w="715" w:type="pct"/>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14:paraId="67BC1E1E" w14:textId="77777777" w:rsidR="0050356F" w:rsidRPr="000E5BD8" w:rsidRDefault="0050356F" w:rsidP="004503AC">
            <w:pPr>
              <w:jc w:val="center"/>
              <w:rPr>
                <w:rFonts w:eastAsia="Times New Roman" w:cstheme="minorHAnsi"/>
                <w:sz w:val="22"/>
                <w:lang w:eastAsia="es-CR"/>
              </w:rPr>
            </w:pPr>
            <w:r w:rsidRPr="000E5BD8">
              <w:rPr>
                <w:rFonts w:eastAsia="Times New Roman" w:cstheme="minorHAnsi"/>
                <w:sz w:val="22"/>
                <w:lang w:eastAsia="es-CR"/>
              </w:rPr>
              <w:t>1 año</w:t>
            </w:r>
          </w:p>
        </w:tc>
        <w:tc>
          <w:tcPr>
            <w:tcW w:w="714" w:type="pct"/>
            <w:tcBorders>
              <w:top w:val="single" w:sz="4" w:space="0" w:color="auto"/>
              <w:left w:val="nil"/>
              <w:bottom w:val="single" w:sz="4" w:space="0" w:color="auto"/>
              <w:right w:val="single" w:sz="4" w:space="0" w:color="auto"/>
            </w:tcBorders>
            <w:shd w:val="clear" w:color="auto" w:fill="4F81BD" w:themeFill="accent1"/>
            <w:noWrap/>
            <w:vAlign w:val="bottom"/>
            <w:hideMark/>
          </w:tcPr>
          <w:p w14:paraId="36DC4914" w14:textId="77777777" w:rsidR="0050356F" w:rsidRPr="000E5BD8" w:rsidRDefault="0050356F" w:rsidP="004503AC">
            <w:pPr>
              <w:jc w:val="center"/>
              <w:rPr>
                <w:rFonts w:eastAsia="Times New Roman" w:cstheme="minorHAnsi"/>
                <w:sz w:val="22"/>
                <w:lang w:eastAsia="es-CR"/>
              </w:rPr>
            </w:pPr>
            <w:r w:rsidRPr="000E5BD8">
              <w:rPr>
                <w:rFonts w:eastAsia="Times New Roman" w:cstheme="minorHAnsi"/>
                <w:sz w:val="22"/>
                <w:lang w:eastAsia="es-CR"/>
              </w:rPr>
              <w:t>2 años</w:t>
            </w:r>
          </w:p>
        </w:tc>
        <w:tc>
          <w:tcPr>
            <w:tcW w:w="714" w:type="pct"/>
            <w:tcBorders>
              <w:top w:val="single" w:sz="4" w:space="0" w:color="auto"/>
              <w:left w:val="nil"/>
              <w:bottom w:val="single" w:sz="4" w:space="0" w:color="auto"/>
              <w:right w:val="single" w:sz="4" w:space="0" w:color="auto"/>
            </w:tcBorders>
            <w:shd w:val="clear" w:color="auto" w:fill="4F81BD" w:themeFill="accent1"/>
            <w:noWrap/>
            <w:vAlign w:val="bottom"/>
            <w:hideMark/>
          </w:tcPr>
          <w:p w14:paraId="3BEC587C" w14:textId="77777777" w:rsidR="0050356F" w:rsidRPr="000E5BD8" w:rsidRDefault="0050356F" w:rsidP="004503AC">
            <w:pPr>
              <w:jc w:val="center"/>
              <w:rPr>
                <w:rFonts w:eastAsia="Times New Roman" w:cstheme="minorHAnsi"/>
                <w:sz w:val="22"/>
                <w:lang w:eastAsia="es-CR"/>
              </w:rPr>
            </w:pPr>
            <w:r w:rsidRPr="000E5BD8">
              <w:rPr>
                <w:rFonts w:eastAsia="Times New Roman" w:cstheme="minorHAnsi"/>
                <w:sz w:val="22"/>
                <w:lang w:eastAsia="es-CR"/>
              </w:rPr>
              <w:t>3 años</w:t>
            </w:r>
          </w:p>
        </w:tc>
        <w:tc>
          <w:tcPr>
            <w:tcW w:w="714" w:type="pct"/>
            <w:tcBorders>
              <w:top w:val="single" w:sz="4" w:space="0" w:color="auto"/>
              <w:left w:val="nil"/>
              <w:bottom w:val="single" w:sz="4" w:space="0" w:color="auto"/>
              <w:right w:val="single" w:sz="4" w:space="0" w:color="auto"/>
            </w:tcBorders>
            <w:shd w:val="clear" w:color="auto" w:fill="4F81BD" w:themeFill="accent1"/>
            <w:noWrap/>
            <w:vAlign w:val="bottom"/>
            <w:hideMark/>
          </w:tcPr>
          <w:p w14:paraId="750B6D2D" w14:textId="77777777" w:rsidR="0050356F" w:rsidRPr="000E5BD8" w:rsidRDefault="0050356F" w:rsidP="004503AC">
            <w:pPr>
              <w:jc w:val="center"/>
              <w:rPr>
                <w:rFonts w:eastAsia="Times New Roman" w:cstheme="minorHAnsi"/>
                <w:sz w:val="22"/>
                <w:lang w:eastAsia="es-CR"/>
              </w:rPr>
            </w:pPr>
            <w:r w:rsidRPr="000E5BD8">
              <w:rPr>
                <w:rFonts w:eastAsia="Times New Roman" w:cstheme="minorHAnsi"/>
                <w:sz w:val="22"/>
                <w:lang w:eastAsia="es-CR"/>
              </w:rPr>
              <w:t>5 años</w:t>
            </w:r>
          </w:p>
        </w:tc>
        <w:tc>
          <w:tcPr>
            <w:tcW w:w="714" w:type="pct"/>
            <w:tcBorders>
              <w:top w:val="single" w:sz="4" w:space="0" w:color="auto"/>
              <w:left w:val="nil"/>
              <w:bottom w:val="single" w:sz="4" w:space="0" w:color="auto"/>
              <w:right w:val="single" w:sz="4" w:space="0" w:color="auto"/>
            </w:tcBorders>
            <w:shd w:val="clear" w:color="auto" w:fill="4F81BD" w:themeFill="accent1"/>
            <w:noWrap/>
            <w:vAlign w:val="bottom"/>
            <w:hideMark/>
          </w:tcPr>
          <w:p w14:paraId="52685946" w14:textId="77777777" w:rsidR="0050356F" w:rsidRPr="000E5BD8" w:rsidRDefault="0050356F" w:rsidP="004503AC">
            <w:pPr>
              <w:jc w:val="center"/>
              <w:rPr>
                <w:rFonts w:eastAsia="Times New Roman" w:cstheme="minorHAnsi"/>
                <w:sz w:val="22"/>
                <w:lang w:eastAsia="es-CR"/>
              </w:rPr>
            </w:pPr>
            <w:r w:rsidRPr="000E5BD8">
              <w:rPr>
                <w:rFonts w:eastAsia="Times New Roman" w:cstheme="minorHAnsi"/>
                <w:sz w:val="22"/>
                <w:lang w:eastAsia="es-CR"/>
              </w:rPr>
              <w:t>7 años</w:t>
            </w:r>
          </w:p>
        </w:tc>
        <w:tc>
          <w:tcPr>
            <w:tcW w:w="714" w:type="pct"/>
            <w:tcBorders>
              <w:top w:val="single" w:sz="4" w:space="0" w:color="auto"/>
              <w:left w:val="nil"/>
              <w:bottom w:val="single" w:sz="4" w:space="0" w:color="auto"/>
              <w:right w:val="single" w:sz="4" w:space="0" w:color="auto"/>
            </w:tcBorders>
            <w:shd w:val="clear" w:color="auto" w:fill="4F81BD" w:themeFill="accent1"/>
            <w:noWrap/>
            <w:vAlign w:val="bottom"/>
            <w:hideMark/>
          </w:tcPr>
          <w:p w14:paraId="0835AB13" w14:textId="77777777" w:rsidR="0050356F" w:rsidRPr="000E5BD8" w:rsidRDefault="0050356F" w:rsidP="004503AC">
            <w:pPr>
              <w:jc w:val="center"/>
              <w:rPr>
                <w:rFonts w:eastAsia="Times New Roman" w:cstheme="minorHAnsi"/>
                <w:sz w:val="22"/>
                <w:lang w:eastAsia="es-CR"/>
              </w:rPr>
            </w:pPr>
            <w:r w:rsidRPr="000E5BD8">
              <w:rPr>
                <w:rFonts w:eastAsia="Times New Roman" w:cstheme="minorHAnsi"/>
                <w:sz w:val="22"/>
                <w:lang w:eastAsia="es-CR"/>
              </w:rPr>
              <w:t>10 años</w:t>
            </w:r>
          </w:p>
        </w:tc>
        <w:tc>
          <w:tcPr>
            <w:tcW w:w="714" w:type="pct"/>
            <w:tcBorders>
              <w:top w:val="single" w:sz="4" w:space="0" w:color="auto"/>
              <w:left w:val="nil"/>
              <w:bottom w:val="single" w:sz="4" w:space="0" w:color="auto"/>
              <w:right w:val="single" w:sz="4" w:space="0" w:color="auto"/>
            </w:tcBorders>
            <w:shd w:val="clear" w:color="auto" w:fill="4F81BD" w:themeFill="accent1"/>
            <w:noWrap/>
            <w:vAlign w:val="bottom"/>
            <w:hideMark/>
          </w:tcPr>
          <w:p w14:paraId="0DF0A6D0" w14:textId="77777777" w:rsidR="0050356F" w:rsidRPr="000E5BD8" w:rsidRDefault="0050356F" w:rsidP="004503AC">
            <w:pPr>
              <w:jc w:val="center"/>
              <w:rPr>
                <w:rFonts w:eastAsia="Times New Roman" w:cstheme="minorHAnsi"/>
                <w:sz w:val="22"/>
                <w:lang w:eastAsia="es-CR"/>
              </w:rPr>
            </w:pPr>
            <w:r w:rsidRPr="000E5BD8">
              <w:rPr>
                <w:rFonts w:eastAsia="Times New Roman" w:cstheme="minorHAnsi"/>
                <w:sz w:val="22"/>
                <w:lang w:eastAsia="es-CR"/>
              </w:rPr>
              <w:t>15 años</w:t>
            </w:r>
          </w:p>
        </w:tc>
      </w:tr>
      <w:tr w:rsidR="007A317A" w:rsidRPr="00D90068" w14:paraId="24EDDC5B" w14:textId="77777777" w:rsidTr="007A317A">
        <w:trPr>
          <w:trHeight w:val="255"/>
        </w:trPr>
        <w:tc>
          <w:tcPr>
            <w:tcW w:w="715" w:type="pct"/>
            <w:tcBorders>
              <w:top w:val="single" w:sz="4" w:space="0" w:color="auto"/>
              <w:left w:val="single" w:sz="4" w:space="0" w:color="auto"/>
              <w:bottom w:val="single" w:sz="4" w:space="0" w:color="auto"/>
              <w:right w:val="single" w:sz="4" w:space="0" w:color="auto"/>
            </w:tcBorders>
            <w:shd w:val="clear" w:color="auto" w:fill="auto"/>
            <w:noWrap/>
          </w:tcPr>
          <w:p w14:paraId="71E97DB3" w14:textId="7F3F28C4" w:rsidR="007A317A" w:rsidRPr="007A317A" w:rsidRDefault="007A317A" w:rsidP="007A317A">
            <w:pPr>
              <w:jc w:val="center"/>
              <w:rPr>
                <w:rFonts w:eastAsia="Times New Roman" w:cstheme="minorHAnsi"/>
                <w:sz w:val="22"/>
                <w:szCs w:val="20"/>
                <w:lang w:eastAsia="es-CR"/>
              </w:rPr>
            </w:pPr>
            <w:r w:rsidRPr="007A317A">
              <w:rPr>
                <w:sz w:val="22"/>
                <w:szCs w:val="20"/>
              </w:rPr>
              <w:t>3,57</w:t>
            </w:r>
          </w:p>
        </w:tc>
        <w:tc>
          <w:tcPr>
            <w:tcW w:w="714" w:type="pct"/>
            <w:tcBorders>
              <w:top w:val="nil"/>
              <w:left w:val="nil"/>
              <w:bottom w:val="single" w:sz="4" w:space="0" w:color="auto"/>
              <w:right w:val="single" w:sz="4" w:space="0" w:color="auto"/>
            </w:tcBorders>
            <w:shd w:val="clear" w:color="auto" w:fill="auto"/>
            <w:noWrap/>
          </w:tcPr>
          <w:p w14:paraId="25884021" w14:textId="350BE6CF" w:rsidR="007A317A" w:rsidRPr="007A317A" w:rsidRDefault="007A317A" w:rsidP="007A317A">
            <w:pPr>
              <w:jc w:val="center"/>
              <w:rPr>
                <w:rFonts w:eastAsia="Times New Roman" w:cstheme="minorHAnsi"/>
                <w:sz w:val="22"/>
                <w:szCs w:val="20"/>
                <w:lang w:eastAsia="es-CR"/>
              </w:rPr>
            </w:pPr>
            <w:r w:rsidRPr="007A317A">
              <w:rPr>
                <w:sz w:val="22"/>
                <w:szCs w:val="20"/>
              </w:rPr>
              <w:t>5,15</w:t>
            </w:r>
          </w:p>
        </w:tc>
        <w:tc>
          <w:tcPr>
            <w:tcW w:w="714" w:type="pct"/>
            <w:tcBorders>
              <w:top w:val="nil"/>
              <w:left w:val="nil"/>
              <w:bottom w:val="single" w:sz="4" w:space="0" w:color="auto"/>
              <w:right w:val="single" w:sz="4" w:space="0" w:color="auto"/>
            </w:tcBorders>
            <w:shd w:val="clear" w:color="auto" w:fill="auto"/>
            <w:noWrap/>
          </w:tcPr>
          <w:p w14:paraId="7710EE74" w14:textId="24A25391" w:rsidR="007A317A" w:rsidRPr="007A317A" w:rsidRDefault="007A317A" w:rsidP="007A317A">
            <w:pPr>
              <w:jc w:val="center"/>
              <w:rPr>
                <w:rFonts w:eastAsia="Times New Roman" w:cstheme="minorHAnsi"/>
                <w:sz w:val="22"/>
                <w:szCs w:val="20"/>
                <w:lang w:eastAsia="es-CR"/>
              </w:rPr>
            </w:pPr>
            <w:r w:rsidRPr="007A317A">
              <w:rPr>
                <w:sz w:val="22"/>
                <w:szCs w:val="20"/>
              </w:rPr>
              <w:t>6,03</w:t>
            </w:r>
          </w:p>
        </w:tc>
        <w:tc>
          <w:tcPr>
            <w:tcW w:w="714" w:type="pct"/>
            <w:tcBorders>
              <w:top w:val="nil"/>
              <w:left w:val="nil"/>
              <w:bottom w:val="single" w:sz="4" w:space="0" w:color="auto"/>
              <w:right w:val="single" w:sz="4" w:space="0" w:color="auto"/>
            </w:tcBorders>
            <w:shd w:val="clear" w:color="auto" w:fill="auto"/>
            <w:noWrap/>
          </w:tcPr>
          <w:p w14:paraId="5F98C862" w14:textId="026C9648" w:rsidR="007A317A" w:rsidRPr="007A317A" w:rsidRDefault="007A317A" w:rsidP="007A317A">
            <w:pPr>
              <w:jc w:val="center"/>
              <w:rPr>
                <w:rFonts w:eastAsia="Times New Roman" w:cstheme="minorHAnsi"/>
                <w:sz w:val="22"/>
                <w:szCs w:val="20"/>
                <w:lang w:eastAsia="es-CR"/>
              </w:rPr>
            </w:pPr>
            <w:r w:rsidRPr="007A317A">
              <w:rPr>
                <w:sz w:val="22"/>
                <w:szCs w:val="20"/>
              </w:rPr>
              <w:t>6,91</w:t>
            </w:r>
          </w:p>
        </w:tc>
        <w:tc>
          <w:tcPr>
            <w:tcW w:w="714" w:type="pct"/>
            <w:tcBorders>
              <w:top w:val="nil"/>
              <w:left w:val="nil"/>
              <w:bottom w:val="single" w:sz="4" w:space="0" w:color="auto"/>
              <w:right w:val="single" w:sz="4" w:space="0" w:color="auto"/>
            </w:tcBorders>
            <w:shd w:val="clear" w:color="auto" w:fill="auto"/>
            <w:noWrap/>
          </w:tcPr>
          <w:p w14:paraId="034C3557" w14:textId="1ACDE8E7" w:rsidR="007A317A" w:rsidRPr="007A317A" w:rsidRDefault="007A317A" w:rsidP="007A317A">
            <w:pPr>
              <w:jc w:val="center"/>
              <w:rPr>
                <w:rFonts w:eastAsia="Times New Roman" w:cstheme="minorHAnsi"/>
                <w:sz w:val="22"/>
                <w:szCs w:val="20"/>
                <w:lang w:eastAsia="es-CR"/>
              </w:rPr>
            </w:pPr>
            <w:r w:rsidRPr="007A317A">
              <w:rPr>
                <w:sz w:val="22"/>
                <w:szCs w:val="20"/>
              </w:rPr>
              <w:t>7,47</w:t>
            </w:r>
          </w:p>
        </w:tc>
        <w:tc>
          <w:tcPr>
            <w:tcW w:w="714" w:type="pct"/>
            <w:tcBorders>
              <w:top w:val="nil"/>
              <w:left w:val="nil"/>
              <w:bottom w:val="single" w:sz="4" w:space="0" w:color="auto"/>
              <w:right w:val="single" w:sz="4" w:space="0" w:color="auto"/>
            </w:tcBorders>
            <w:shd w:val="clear" w:color="auto" w:fill="auto"/>
            <w:noWrap/>
          </w:tcPr>
          <w:p w14:paraId="1DA70700" w14:textId="686CA7DB" w:rsidR="007A317A" w:rsidRPr="007A317A" w:rsidRDefault="007A317A" w:rsidP="007A317A">
            <w:pPr>
              <w:jc w:val="center"/>
              <w:rPr>
                <w:rFonts w:eastAsia="Times New Roman" w:cstheme="minorHAnsi"/>
                <w:sz w:val="22"/>
                <w:szCs w:val="20"/>
                <w:lang w:eastAsia="es-CR"/>
              </w:rPr>
            </w:pPr>
            <w:r w:rsidRPr="007A317A">
              <w:rPr>
                <w:sz w:val="22"/>
                <w:szCs w:val="20"/>
              </w:rPr>
              <w:t>8,34</w:t>
            </w:r>
          </w:p>
        </w:tc>
        <w:tc>
          <w:tcPr>
            <w:tcW w:w="714" w:type="pct"/>
            <w:tcBorders>
              <w:top w:val="nil"/>
              <w:left w:val="nil"/>
              <w:bottom w:val="single" w:sz="4" w:space="0" w:color="auto"/>
              <w:right w:val="single" w:sz="4" w:space="0" w:color="auto"/>
            </w:tcBorders>
            <w:shd w:val="clear" w:color="auto" w:fill="auto"/>
            <w:noWrap/>
          </w:tcPr>
          <w:p w14:paraId="2BC44DEA" w14:textId="2B706768" w:rsidR="007A317A" w:rsidRPr="007A317A" w:rsidRDefault="007A317A" w:rsidP="007A317A">
            <w:pPr>
              <w:jc w:val="center"/>
              <w:rPr>
                <w:rFonts w:eastAsia="Times New Roman" w:cstheme="minorHAnsi"/>
                <w:sz w:val="22"/>
                <w:szCs w:val="20"/>
                <w:lang w:eastAsia="es-CR"/>
              </w:rPr>
            </w:pPr>
            <w:r w:rsidRPr="007A317A">
              <w:rPr>
                <w:sz w:val="22"/>
                <w:szCs w:val="20"/>
              </w:rPr>
              <w:t>8,87</w:t>
            </w:r>
          </w:p>
        </w:tc>
      </w:tr>
    </w:tbl>
    <w:p w14:paraId="542B5A70" w14:textId="77777777" w:rsidR="0050356F" w:rsidRPr="00651C07" w:rsidRDefault="0050356F" w:rsidP="0050356F">
      <w:pPr>
        <w:rPr>
          <w:i/>
          <w:sz w:val="20"/>
        </w:rPr>
      </w:pPr>
      <w:r w:rsidRPr="00651C07">
        <w:rPr>
          <w:i/>
          <w:sz w:val="20"/>
        </w:rPr>
        <w:t>Fuente: BCCR</w:t>
      </w:r>
    </w:p>
    <w:p w14:paraId="69CD50AD" w14:textId="79F803A4" w:rsidR="00C74160" w:rsidRDefault="00C74160" w:rsidP="00592239">
      <w:pPr>
        <w:pStyle w:val="Prrafodelista"/>
        <w:numPr>
          <w:ilvl w:val="0"/>
          <w:numId w:val="33"/>
        </w:numPr>
        <w:spacing w:after="0"/>
      </w:pPr>
      <w:r>
        <w:lastRenderedPageBreak/>
        <w:t>Para efectos de esta metodología, la tasa a tres años plazo seleccionada, corresponderá al último punto líquido.</w:t>
      </w:r>
      <w:r w:rsidR="0004161D">
        <w:t xml:space="preserve"> Significa entonces que el último punto líquido de la curva </w:t>
      </w:r>
      <w:r w:rsidR="0004161D" w:rsidRPr="0004161D">
        <w:t>de tipos de interés técnico</w:t>
      </w:r>
      <w:r w:rsidR="0004161D">
        <w:t xml:space="preserve"> del 20</w:t>
      </w:r>
      <w:r w:rsidR="00F1706D">
        <w:t>20</w:t>
      </w:r>
      <w:r w:rsidR="0004161D">
        <w:t xml:space="preserve"> es</w:t>
      </w:r>
      <w:r w:rsidR="00F67C5E">
        <w:t xml:space="preserve"> 6</w:t>
      </w:r>
      <w:r w:rsidR="00A95423">
        <w:t>,0</w:t>
      </w:r>
      <w:r w:rsidR="00F1706D">
        <w:t>3</w:t>
      </w:r>
      <w:r w:rsidR="00F67C5E">
        <w:t>%</w:t>
      </w:r>
      <w:r w:rsidR="0004161D" w:rsidRPr="00F67C5E">
        <w:t>.</w:t>
      </w:r>
    </w:p>
    <w:p w14:paraId="1F73AB60" w14:textId="77777777" w:rsidR="00047BCB" w:rsidRDefault="00047BCB" w:rsidP="00F67C5E"/>
    <w:p w14:paraId="338247DC" w14:textId="77777777" w:rsidR="00047BCB" w:rsidRPr="00485D23" w:rsidRDefault="00047BCB" w:rsidP="00F67C5E">
      <w:pPr>
        <w:pStyle w:val="Prrafodelista"/>
        <w:numPr>
          <w:ilvl w:val="0"/>
          <w:numId w:val="30"/>
        </w:numPr>
        <w:spacing w:after="0"/>
        <w:rPr>
          <w:rStyle w:val="Ttulo2Car"/>
          <w:rFonts w:asciiTheme="minorHAnsi" w:eastAsiaTheme="minorEastAsia" w:hAnsiTheme="minorHAnsi" w:cstheme="minorBidi"/>
          <w:color w:val="auto"/>
          <w:sz w:val="24"/>
          <w:szCs w:val="24"/>
        </w:rPr>
      </w:pPr>
      <w:bookmarkStart w:id="4" w:name="_Toc37177675"/>
      <w:r>
        <w:rPr>
          <w:rStyle w:val="Ttulo2Car"/>
          <w:rFonts w:ascii="Century Gothic" w:hAnsi="Century Gothic"/>
          <w:b/>
          <w:sz w:val="24"/>
        </w:rPr>
        <w:t>Ultimate forward rate (UFR)</w:t>
      </w:r>
      <w:bookmarkEnd w:id="4"/>
    </w:p>
    <w:p w14:paraId="4937159B" w14:textId="77777777" w:rsidR="003B06C1" w:rsidRDefault="003B06C1" w:rsidP="00F67C5E"/>
    <w:p w14:paraId="7135F870" w14:textId="494C5B05" w:rsidR="00047BCB" w:rsidRDefault="00047BCB" w:rsidP="00F67C5E">
      <w:r w:rsidRPr="00047BCB">
        <w:t>La UFR se define como la suma de los tipos de interés reales esperados más la inflación esperada, conforme las siguientes consideraciones:</w:t>
      </w:r>
    </w:p>
    <w:p w14:paraId="3E88DF51" w14:textId="77777777" w:rsidR="00047BCB" w:rsidRDefault="00047BCB" w:rsidP="00F67C5E"/>
    <w:p w14:paraId="23EBFF5E" w14:textId="77777777" w:rsidR="00047BCB" w:rsidRDefault="00047BCB" w:rsidP="00F67C5E">
      <w:pPr>
        <w:pStyle w:val="Ttulo3"/>
        <w:numPr>
          <w:ilvl w:val="1"/>
          <w:numId w:val="26"/>
        </w:numPr>
        <w:spacing w:before="0"/>
        <w:ind w:left="709" w:hanging="284"/>
      </w:pPr>
      <w:bookmarkStart w:id="5" w:name="_Toc37177676"/>
      <w:r>
        <w:t>Tasa real esperada</w:t>
      </w:r>
      <w:bookmarkEnd w:id="5"/>
    </w:p>
    <w:p w14:paraId="2FB083EE" w14:textId="77777777" w:rsidR="00047BCB" w:rsidRDefault="00047BCB" w:rsidP="00F67C5E"/>
    <w:p w14:paraId="2232E24A" w14:textId="674EA097" w:rsidR="002B1783" w:rsidRDefault="00047BCB" w:rsidP="00F67C5E">
      <w:pPr>
        <w:ind w:left="426"/>
        <w:rPr>
          <w:rFonts w:cstheme="minorHAnsi"/>
          <w:szCs w:val="24"/>
        </w:rPr>
      </w:pPr>
      <w:r w:rsidRPr="002B1783">
        <w:rPr>
          <w:rFonts w:cstheme="minorHAnsi"/>
          <w:szCs w:val="24"/>
        </w:rPr>
        <w:t>Para la determinación de los tipos de interés reales esperados se toma como referencia las tasas de interés del Merc</w:t>
      </w:r>
      <w:r w:rsidR="00F42B67">
        <w:rPr>
          <w:rFonts w:cstheme="minorHAnsi"/>
          <w:szCs w:val="24"/>
        </w:rPr>
        <w:t xml:space="preserve">ado Integrado de Liquidez (MIL), </w:t>
      </w:r>
      <w:r w:rsidR="002B1783" w:rsidRPr="002B1783">
        <w:rPr>
          <w:rFonts w:cstheme="minorHAnsi"/>
          <w:szCs w:val="24"/>
        </w:rPr>
        <w:t>cada valor se debe deflactar con la inflación observada en el mes correspondiente para obtener las tasas reales. Para ello se utiliza la fórmula de Fischer:</w:t>
      </w:r>
    </w:p>
    <w:p w14:paraId="33B1A470" w14:textId="77777777" w:rsidR="008A0AEC" w:rsidRPr="002B1783" w:rsidRDefault="008A0AEC" w:rsidP="00F67C5E">
      <w:pPr>
        <w:ind w:left="426"/>
        <w:rPr>
          <w:rFonts w:cstheme="minorHAnsi"/>
          <w:szCs w:val="24"/>
        </w:rPr>
      </w:pPr>
    </w:p>
    <w:p w14:paraId="15200448" w14:textId="77777777" w:rsidR="002B1783" w:rsidRPr="002B1783" w:rsidRDefault="00A07579" w:rsidP="00F67C5E">
      <w:pPr>
        <w:autoSpaceDE w:val="0"/>
        <w:autoSpaceDN w:val="0"/>
        <w:adjustRightInd w:val="0"/>
        <w:ind w:left="426"/>
        <w:rPr>
          <w:rFonts w:cstheme="minorHAnsi"/>
          <w:szCs w:val="24"/>
        </w:rPr>
      </w:pPr>
      <m:oMathPara>
        <m:oMath>
          <m:d>
            <m:dPr>
              <m:ctrlPr>
                <w:rPr>
                  <w:rFonts w:ascii="Cambria Math" w:hAnsi="Cambria Math" w:cstheme="minorHAnsi"/>
                  <w:i/>
                  <w:szCs w:val="24"/>
                </w:rPr>
              </m:ctrlPr>
            </m:dPr>
            <m:e>
              <m:r>
                <w:rPr>
                  <w:rFonts w:ascii="Cambria Math" w:hAnsi="Cambria Math" w:cstheme="minorHAnsi"/>
                  <w:szCs w:val="24"/>
                </w:rPr>
                <m:t>1+r</m:t>
              </m:r>
            </m:e>
          </m:d>
          <m:r>
            <w:rPr>
              <w:rFonts w:ascii="Cambria Math" w:hAnsi="Cambria Math" w:cstheme="minorHAnsi"/>
              <w:szCs w:val="24"/>
            </w:rPr>
            <m:t>=</m:t>
          </m:r>
          <m:f>
            <m:fPr>
              <m:ctrlPr>
                <w:rPr>
                  <w:rFonts w:ascii="Cambria Math" w:hAnsi="Cambria Math" w:cstheme="minorHAnsi"/>
                  <w:i/>
                  <w:szCs w:val="24"/>
                </w:rPr>
              </m:ctrlPr>
            </m:fPr>
            <m:num>
              <m:r>
                <w:rPr>
                  <w:rFonts w:ascii="Cambria Math" w:hAnsi="Cambria Math" w:cstheme="minorHAnsi"/>
                  <w:szCs w:val="24"/>
                </w:rPr>
                <m:t>(1+i)</m:t>
              </m:r>
            </m:num>
            <m:den>
              <m:r>
                <w:rPr>
                  <w:rFonts w:ascii="Cambria Math" w:hAnsi="Cambria Math" w:cstheme="minorHAnsi"/>
                  <w:szCs w:val="24"/>
                </w:rPr>
                <m:t>(1+π)</m:t>
              </m:r>
            </m:den>
          </m:f>
        </m:oMath>
      </m:oMathPara>
    </w:p>
    <w:p w14:paraId="0850F801" w14:textId="77777777" w:rsidR="002B1783" w:rsidRPr="002B1783" w:rsidRDefault="002B1783" w:rsidP="00F67C5E">
      <w:pPr>
        <w:autoSpaceDE w:val="0"/>
        <w:autoSpaceDN w:val="0"/>
        <w:adjustRightInd w:val="0"/>
        <w:ind w:left="426"/>
        <w:rPr>
          <w:rFonts w:cstheme="minorHAnsi"/>
          <w:szCs w:val="24"/>
        </w:rPr>
      </w:pPr>
      <w:r w:rsidRPr="002B1783">
        <w:rPr>
          <w:rFonts w:cstheme="minorHAnsi"/>
          <w:szCs w:val="24"/>
        </w:rPr>
        <w:t>Donde</w:t>
      </w:r>
    </w:p>
    <w:p w14:paraId="2546FA88" w14:textId="77777777" w:rsidR="002B1783" w:rsidRPr="002B1783" w:rsidRDefault="002B1783" w:rsidP="00F67C5E">
      <w:pPr>
        <w:autoSpaceDE w:val="0"/>
        <w:autoSpaceDN w:val="0"/>
        <w:adjustRightInd w:val="0"/>
        <w:ind w:left="426"/>
        <w:rPr>
          <w:rFonts w:cstheme="minorHAnsi"/>
          <w:szCs w:val="24"/>
        </w:rPr>
      </w:pPr>
      <w:r w:rsidRPr="002B1783">
        <w:rPr>
          <w:rFonts w:cstheme="minorHAnsi"/>
          <w:szCs w:val="24"/>
        </w:rPr>
        <w:t>r: corresponde a la tasa real</w:t>
      </w:r>
    </w:p>
    <w:p w14:paraId="2F0607C7" w14:textId="77777777" w:rsidR="002B1783" w:rsidRPr="002B1783" w:rsidRDefault="002B1783" w:rsidP="00F67C5E">
      <w:pPr>
        <w:autoSpaceDE w:val="0"/>
        <w:autoSpaceDN w:val="0"/>
        <w:adjustRightInd w:val="0"/>
        <w:ind w:left="426"/>
        <w:rPr>
          <w:rFonts w:cstheme="minorHAnsi"/>
          <w:szCs w:val="24"/>
        </w:rPr>
      </w:pPr>
      <w:r w:rsidRPr="002B1783">
        <w:rPr>
          <w:rFonts w:cstheme="minorHAnsi"/>
          <w:szCs w:val="24"/>
        </w:rPr>
        <w:t>i: tasa de interés promedio observaba en el MIL</w:t>
      </w:r>
    </w:p>
    <w:p w14:paraId="15652501" w14:textId="77777777" w:rsidR="002B1783" w:rsidRPr="002B1783" w:rsidRDefault="002B1783" w:rsidP="00F67C5E">
      <w:pPr>
        <w:ind w:left="426"/>
        <w:contextualSpacing/>
        <w:rPr>
          <w:rFonts w:eastAsiaTheme="minorEastAsia" w:cstheme="minorHAnsi"/>
          <w:szCs w:val="24"/>
        </w:rPr>
      </w:pPr>
      <m:oMath>
        <m:r>
          <w:rPr>
            <w:rFonts w:ascii="Cambria Math" w:hAnsi="Cambria Math" w:cstheme="minorHAnsi"/>
            <w:szCs w:val="24"/>
          </w:rPr>
          <m:t>π</m:t>
        </m:r>
      </m:oMath>
      <w:r w:rsidRPr="002B1783">
        <w:rPr>
          <w:rFonts w:eastAsiaTheme="minorEastAsia" w:cstheme="minorHAnsi"/>
          <w:szCs w:val="24"/>
        </w:rPr>
        <w:t>: inflación observada en el mes, correspondiente a la variación interanual del IPC.</w:t>
      </w:r>
    </w:p>
    <w:p w14:paraId="64494452" w14:textId="77777777" w:rsidR="002B1783" w:rsidRPr="002B1783" w:rsidRDefault="002B1783" w:rsidP="00F67C5E">
      <w:pPr>
        <w:ind w:left="426"/>
        <w:contextualSpacing/>
        <w:rPr>
          <w:rFonts w:eastAsiaTheme="minorEastAsia" w:cstheme="minorHAnsi"/>
          <w:szCs w:val="24"/>
        </w:rPr>
      </w:pPr>
    </w:p>
    <w:p w14:paraId="707043C6" w14:textId="737AA380" w:rsidR="00567C78" w:rsidRDefault="002B1783" w:rsidP="00F67C5E">
      <w:pPr>
        <w:ind w:left="426"/>
        <w:contextualSpacing/>
        <w:rPr>
          <w:rFonts w:eastAsiaTheme="minorEastAsia" w:cstheme="minorHAnsi"/>
          <w:szCs w:val="24"/>
        </w:rPr>
      </w:pPr>
      <w:r w:rsidRPr="002B1783">
        <w:rPr>
          <w:rFonts w:eastAsiaTheme="minorEastAsia" w:cstheme="minorHAnsi"/>
          <w:szCs w:val="24"/>
        </w:rPr>
        <w:t>Una vez que se deflactan las tasas</w:t>
      </w:r>
      <w:r w:rsidR="00F42B67">
        <w:rPr>
          <w:rFonts w:eastAsiaTheme="minorEastAsia" w:cstheme="minorHAnsi"/>
          <w:szCs w:val="24"/>
        </w:rPr>
        <w:t xml:space="preserve">, </w:t>
      </w:r>
      <w:r w:rsidRPr="002B1783">
        <w:rPr>
          <w:rFonts w:eastAsiaTheme="minorEastAsia" w:cstheme="minorHAnsi"/>
          <w:szCs w:val="24"/>
        </w:rPr>
        <w:t xml:space="preserve">se calcula </w:t>
      </w:r>
      <w:r w:rsidR="00F42B67">
        <w:rPr>
          <w:rFonts w:eastAsiaTheme="minorEastAsia" w:cstheme="minorHAnsi"/>
          <w:szCs w:val="24"/>
        </w:rPr>
        <w:t>por año el</w:t>
      </w:r>
      <w:r w:rsidRPr="002B1783">
        <w:rPr>
          <w:rFonts w:eastAsiaTheme="minorEastAsia" w:cstheme="minorHAnsi"/>
          <w:szCs w:val="24"/>
        </w:rPr>
        <w:t xml:space="preserve"> promedio simple para obtener la tasa real </w:t>
      </w:r>
      <w:r w:rsidR="00F42B67">
        <w:rPr>
          <w:rFonts w:eastAsiaTheme="minorEastAsia" w:cstheme="minorHAnsi"/>
          <w:szCs w:val="24"/>
        </w:rPr>
        <w:t xml:space="preserve">anual y </w:t>
      </w:r>
      <w:r w:rsidRPr="002B1783">
        <w:rPr>
          <w:rFonts w:eastAsiaTheme="minorEastAsia" w:cstheme="minorHAnsi"/>
          <w:szCs w:val="24"/>
        </w:rPr>
        <w:t xml:space="preserve">se aplica un redondeo de cinco </w:t>
      </w:r>
      <w:r w:rsidR="008F6F34" w:rsidRPr="002B1783">
        <w:rPr>
          <w:rFonts w:eastAsiaTheme="minorEastAsia" w:cstheme="minorHAnsi"/>
          <w:szCs w:val="24"/>
        </w:rPr>
        <w:t>puntos base</w:t>
      </w:r>
      <w:r w:rsidR="008F6F34">
        <w:rPr>
          <w:rFonts w:eastAsiaTheme="minorEastAsia" w:cstheme="minorHAnsi"/>
          <w:szCs w:val="24"/>
        </w:rPr>
        <w:t xml:space="preserve"> (p.b.)</w:t>
      </w:r>
      <w:r w:rsidRPr="002B1783">
        <w:rPr>
          <w:rFonts w:eastAsiaTheme="minorEastAsia" w:cstheme="minorHAnsi"/>
          <w:szCs w:val="24"/>
        </w:rPr>
        <w:t xml:space="preserve"> de la siguiente forma:</w:t>
      </w:r>
    </w:p>
    <w:p w14:paraId="69CED707" w14:textId="52C1EB4F" w:rsidR="002B1783" w:rsidRPr="002B1783" w:rsidRDefault="002B1783" w:rsidP="00F67C5E">
      <w:pPr>
        <w:ind w:left="426"/>
        <w:contextualSpacing/>
        <w:rPr>
          <w:rFonts w:eastAsiaTheme="minorEastAsia" w:cstheme="minorHAnsi"/>
          <w:szCs w:val="24"/>
        </w:rPr>
      </w:pPr>
    </w:p>
    <w:p w14:paraId="32596829" w14:textId="144F1017" w:rsidR="002B1783" w:rsidRDefault="002B1783" w:rsidP="00F67C5E">
      <w:pPr>
        <w:pStyle w:val="Prrafodelista"/>
        <w:numPr>
          <w:ilvl w:val="0"/>
          <w:numId w:val="31"/>
        </w:numPr>
        <w:spacing w:after="0"/>
        <w:ind w:left="1134" w:hanging="283"/>
        <w:rPr>
          <w:rFonts w:cstheme="minorHAnsi"/>
          <w:szCs w:val="24"/>
        </w:rPr>
      </w:pPr>
      <w:r w:rsidRPr="002B1783">
        <w:rPr>
          <w:rFonts w:cstheme="minorHAnsi"/>
          <w:szCs w:val="24"/>
        </w:rPr>
        <w:t xml:space="preserve">Si la tasa real esperada es menor que la tasa redondeada del periodo </w:t>
      </w:r>
      <w:r w:rsidR="008F6F34" w:rsidRPr="002B1783">
        <w:rPr>
          <w:rFonts w:cstheme="minorHAnsi"/>
          <w:szCs w:val="24"/>
        </w:rPr>
        <w:t>anterior</w:t>
      </w:r>
      <w:r w:rsidR="008F6F34">
        <w:rPr>
          <w:rFonts w:cstheme="minorHAnsi"/>
          <w:szCs w:val="24"/>
        </w:rPr>
        <w:t>,</w:t>
      </w:r>
      <w:r w:rsidRPr="002B1783">
        <w:rPr>
          <w:rFonts w:cstheme="minorHAnsi"/>
          <w:szCs w:val="24"/>
        </w:rPr>
        <w:t xml:space="preserve"> se redondea 5 p.b. hacia arriba.</w:t>
      </w:r>
    </w:p>
    <w:p w14:paraId="2AFDB820" w14:textId="38290BA3" w:rsidR="002B1783" w:rsidRDefault="002B1783" w:rsidP="00F67C5E">
      <w:pPr>
        <w:pStyle w:val="Prrafodelista"/>
        <w:numPr>
          <w:ilvl w:val="0"/>
          <w:numId w:val="31"/>
        </w:numPr>
        <w:spacing w:after="0"/>
        <w:ind w:left="1134" w:hanging="283"/>
        <w:rPr>
          <w:rFonts w:cstheme="minorHAnsi"/>
          <w:szCs w:val="24"/>
        </w:rPr>
      </w:pPr>
      <w:r w:rsidRPr="002B1783">
        <w:rPr>
          <w:rFonts w:cstheme="minorHAnsi"/>
          <w:szCs w:val="24"/>
        </w:rPr>
        <w:t xml:space="preserve">Si la tasa real esperada es mayor que la tasa redondeada del periodo </w:t>
      </w:r>
      <w:r w:rsidR="008F6F34" w:rsidRPr="002B1783">
        <w:rPr>
          <w:rFonts w:cstheme="minorHAnsi"/>
          <w:szCs w:val="24"/>
        </w:rPr>
        <w:t>anterior</w:t>
      </w:r>
      <w:r w:rsidR="008F6F34">
        <w:rPr>
          <w:rFonts w:cstheme="minorHAnsi"/>
          <w:szCs w:val="24"/>
        </w:rPr>
        <w:t>,</w:t>
      </w:r>
      <w:r w:rsidRPr="002B1783">
        <w:rPr>
          <w:rFonts w:cstheme="minorHAnsi"/>
          <w:szCs w:val="24"/>
        </w:rPr>
        <w:t xml:space="preserve"> se redondea 5 p.b. hacia abajo.</w:t>
      </w:r>
    </w:p>
    <w:p w14:paraId="6D4C9E52" w14:textId="77777777" w:rsidR="00F42B67" w:rsidRPr="00F42B67" w:rsidRDefault="00F42B67" w:rsidP="00F67C5E">
      <w:pPr>
        <w:ind w:left="426"/>
        <w:rPr>
          <w:rFonts w:cstheme="minorHAnsi"/>
          <w:szCs w:val="24"/>
        </w:rPr>
      </w:pPr>
    </w:p>
    <w:p w14:paraId="0B890288" w14:textId="0BD5442D" w:rsidR="002B1783" w:rsidRDefault="00F42B67" w:rsidP="00F67C5E">
      <w:pPr>
        <w:ind w:left="426"/>
        <w:rPr>
          <w:rFonts w:cstheme="minorHAnsi"/>
          <w:szCs w:val="24"/>
        </w:rPr>
      </w:pPr>
      <w:r w:rsidRPr="00F42B67">
        <w:rPr>
          <w:rFonts w:cstheme="minorHAnsi"/>
          <w:szCs w:val="24"/>
        </w:rPr>
        <w:t>Para</w:t>
      </w:r>
      <w:r>
        <w:rPr>
          <w:rFonts w:cstheme="minorHAnsi"/>
          <w:szCs w:val="24"/>
        </w:rPr>
        <w:t xml:space="preserve"> calcular la </w:t>
      </w:r>
      <w:r w:rsidR="00401B46">
        <w:rPr>
          <w:rFonts w:cstheme="minorHAnsi"/>
          <w:szCs w:val="24"/>
        </w:rPr>
        <w:t>tasa real esperada</w:t>
      </w:r>
      <w:r>
        <w:rPr>
          <w:rFonts w:cstheme="minorHAnsi"/>
          <w:szCs w:val="24"/>
        </w:rPr>
        <w:t xml:space="preserve"> al 20</w:t>
      </w:r>
      <w:r w:rsidR="00FB5FEA">
        <w:rPr>
          <w:rFonts w:cstheme="minorHAnsi"/>
          <w:szCs w:val="24"/>
        </w:rPr>
        <w:t>20</w:t>
      </w:r>
      <w:r>
        <w:rPr>
          <w:rFonts w:cstheme="minorHAnsi"/>
          <w:szCs w:val="24"/>
        </w:rPr>
        <w:t xml:space="preserve">, </w:t>
      </w:r>
      <w:r w:rsidRPr="00F42B67">
        <w:rPr>
          <w:rFonts w:cstheme="minorHAnsi"/>
          <w:szCs w:val="24"/>
        </w:rPr>
        <w:t xml:space="preserve">se utilizó el histórico </w:t>
      </w:r>
      <w:r>
        <w:rPr>
          <w:rFonts w:cstheme="minorHAnsi"/>
          <w:szCs w:val="24"/>
        </w:rPr>
        <w:t xml:space="preserve">de </w:t>
      </w:r>
      <w:r w:rsidR="00D0760A">
        <w:rPr>
          <w:rFonts w:cstheme="minorHAnsi"/>
          <w:szCs w:val="24"/>
        </w:rPr>
        <w:t xml:space="preserve">promedios mensuales de </w:t>
      </w:r>
      <w:r>
        <w:rPr>
          <w:rFonts w:cstheme="minorHAnsi"/>
          <w:szCs w:val="24"/>
        </w:rPr>
        <w:t xml:space="preserve">las </w:t>
      </w:r>
      <w:r w:rsidRPr="002B1783">
        <w:rPr>
          <w:rFonts w:cstheme="minorHAnsi"/>
          <w:szCs w:val="24"/>
        </w:rPr>
        <w:t xml:space="preserve">tasas de interés del </w:t>
      </w:r>
      <w:r w:rsidR="00002677">
        <w:rPr>
          <w:rFonts w:cstheme="minorHAnsi"/>
          <w:szCs w:val="24"/>
        </w:rPr>
        <w:t>Mercado Integrado de Liquidez (</w:t>
      </w:r>
      <w:r w:rsidR="00D0760A">
        <w:rPr>
          <w:rFonts w:cstheme="minorHAnsi"/>
          <w:szCs w:val="24"/>
        </w:rPr>
        <w:t>MIL</w:t>
      </w:r>
      <w:r w:rsidR="00002677">
        <w:rPr>
          <w:rFonts w:cstheme="minorHAnsi"/>
          <w:szCs w:val="24"/>
        </w:rPr>
        <w:t>)</w:t>
      </w:r>
      <w:r w:rsidR="00D0760A">
        <w:rPr>
          <w:rFonts w:cstheme="minorHAnsi"/>
          <w:szCs w:val="24"/>
        </w:rPr>
        <w:t xml:space="preserve"> </w:t>
      </w:r>
      <w:r w:rsidR="00D0760A" w:rsidRPr="002B1783">
        <w:rPr>
          <w:rFonts w:cstheme="minorHAnsi"/>
          <w:szCs w:val="24"/>
        </w:rPr>
        <w:t xml:space="preserve">desde enero </w:t>
      </w:r>
      <w:r w:rsidR="00D0760A" w:rsidRPr="00F15F0F">
        <w:rPr>
          <w:rFonts w:cstheme="minorHAnsi"/>
          <w:szCs w:val="24"/>
        </w:rPr>
        <w:t>2013 hasta diciembre del 20</w:t>
      </w:r>
      <w:r w:rsidR="00F15F0F" w:rsidRPr="00F15F0F">
        <w:rPr>
          <w:rFonts w:cstheme="minorHAnsi"/>
          <w:szCs w:val="24"/>
        </w:rPr>
        <w:t>20</w:t>
      </w:r>
      <w:r w:rsidR="00D0760A">
        <w:rPr>
          <w:rFonts w:cstheme="minorHAnsi"/>
          <w:szCs w:val="24"/>
        </w:rPr>
        <w:t xml:space="preserve"> y la variación interanual </w:t>
      </w:r>
      <w:r w:rsidR="00651C07">
        <w:rPr>
          <w:rFonts w:cstheme="minorHAnsi"/>
          <w:szCs w:val="24"/>
        </w:rPr>
        <w:t xml:space="preserve">del Índice de Precios al Consumidor </w:t>
      </w:r>
      <w:r w:rsidR="00401B46">
        <w:rPr>
          <w:rFonts w:cstheme="minorHAnsi"/>
          <w:szCs w:val="24"/>
        </w:rPr>
        <w:t xml:space="preserve">(ver </w:t>
      </w:r>
      <w:r w:rsidR="00EE65CF">
        <w:rPr>
          <w:rFonts w:cstheme="minorHAnsi"/>
          <w:szCs w:val="24"/>
        </w:rPr>
        <w:t xml:space="preserve">detalle </w:t>
      </w:r>
      <w:r w:rsidR="00EE65CF" w:rsidRPr="00002677">
        <w:rPr>
          <w:rFonts w:cstheme="minorHAnsi"/>
          <w:szCs w:val="24"/>
        </w:rPr>
        <w:t xml:space="preserve">en </w:t>
      </w:r>
      <w:r w:rsidR="00401B46" w:rsidRPr="00002677">
        <w:rPr>
          <w:rFonts w:cstheme="minorHAnsi"/>
          <w:szCs w:val="24"/>
        </w:rPr>
        <w:t xml:space="preserve">anexo </w:t>
      </w:r>
      <w:r w:rsidR="00002677" w:rsidRPr="00002677">
        <w:rPr>
          <w:rFonts w:cstheme="minorHAnsi"/>
          <w:szCs w:val="24"/>
        </w:rPr>
        <w:t>2</w:t>
      </w:r>
      <w:r w:rsidR="00401B46">
        <w:rPr>
          <w:rFonts w:cstheme="minorHAnsi"/>
          <w:szCs w:val="24"/>
        </w:rPr>
        <w:t>). C</w:t>
      </w:r>
      <w:r w:rsidR="001C0230">
        <w:rPr>
          <w:rFonts w:cstheme="minorHAnsi"/>
          <w:szCs w:val="24"/>
        </w:rPr>
        <w:t xml:space="preserve">on esto se obtuvo los promedios anuales </w:t>
      </w:r>
      <w:r w:rsidR="00401B46">
        <w:rPr>
          <w:rFonts w:cstheme="minorHAnsi"/>
          <w:szCs w:val="24"/>
        </w:rPr>
        <w:t>y se efectuó el redondeo según lo establecido en la metodología mencionada.</w:t>
      </w:r>
      <w:r w:rsidR="00EE65CF">
        <w:rPr>
          <w:rFonts w:cstheme="minorHAnsi"/>
          <w:szCs w:val="24"/>
        </w:rPr>
        <w:t xml:space="preserve"> </w:t>
      </w:r>
      <w:r w:rsidR="00FE4C9B">
        <w:rPr>
          <w:rFonts w:cstheme="minorHAnsi"/>
          <w:szCs w:val="24"/>
        </w:rPr>
        <w:t xml:space="preserve">Como </w:t>
      </w:r>
      <w:r w:rsidR="00FE4C9B">
        <w:rPr>
          <w:rFonts w:cstheme="minorHAnsi"/>
          <w:szCs w:val="24"/>
        </w:rPr>
        <w:lastRenderedPageBreak/>
        <w:t xml:space="preserve">resultado, </w:t>
      </w:r>
      <w:r w:rsidR="00EE65CF">
        <w:rPr>
          <w:rFonts w:cstheme="minorHAnsi"/>
          <w:szCs w:val="24"/>
        </w:rPr>
        <w:t>la tasa real esperada para el periodo 20</w:t>
      </w:r>
      <w:r w:rsidR="00FB5FEA">
        <w:rPr>
          <w:rFonts w:cstheme="minorHAnsi"/>
          <w:szCs w:val="24"/>
        </w:rPr>
        <w:t>20</w:t>
      </w:r>
      <w:r w:rsidR="00EE65CF">
        <w:rPr>
          <w:rFonts w:cstheme="minorHAnsi"/>
          <w:szCs w:val="24"/>
        </w:rPr>
        <w:t xml:space="preserve"> </w:t>
      </w:r>
      <w:r w:rsidR="00EE65CF" w:rsidRPr="00F15F0F">
        <w:rPr>
          <w:rFonts w:cstheme="minorHAnsi"/>
          <w:szCs w:val="24"/>
        </w:rPr>
        <w:t>es 1</w:t>
      </w:r>
      <w:r w:rsidR="008F6F34">
        <w:rPr>
          <w:rFonts w:cstheme="minorHAnsi"/>
          <w:szCs w:val="24"/>
        </w:rPr>
        <w:t>,</w:t>
      </w:r>
      <w:r w:rsidR="00F15F0F" w:rsidRPr="00F15F0F">
        <w:rPr>
          <w:rFonts w:cstheme="minorHAnsi"/>
          <w:szCs w:val="24"/>
        </w:rPr>
        <w:t>4</w:t>
      </w:r>
      <w:r w:rsidR="00D011DA" w:rsidRPr="00F15F0F">
        <w:rPr>
          <w:rFonts w:cstheme="minorHAnsi"/>
          <w:szCs w:val="24"/>
        </w:rPr>
        <w:t>0</w:t>
      </w:r>
      <w:r w:rsidR="00162F74" w:rsidRPr="00F15F0F">
        <w:rPr>
          <w:rFonts w:cstheme="minorHAnsi"/>
          <w:szCs w:val="24"/>
        </w:rPr>
        <w:t>%</w:t>
      </w:r>
      <w:r w:rsidR="00EE65CF" w:rsidRPr="00F15F0F">
        <w:rPr>
          <w:rFonts w:cstheme="minorHAnsi"/>
          <w:szCs w:val="24"/>
        </w:rPr>
        <w:t>.</w:t>
      </w:r>
      <w:r w:rsidR="00FE4C9B">
        <w:rPr>
          <w:rFonts w:cstheme="minorHAnsi"/>
          <w:szCs w:val="24"/>
        </w:rPr>
        <w:t xml:space="preserve"> En el siguiente cuadro se presenta los datos obtenidos para cada periodo. </w:t>
      </w:r>
    </w:p>
    <w:p w14:paraId="7871945C" w14:textId="77777777" w:rsidR="00F42B67" w:rsidRDefault="00F42B67" w:rsidP="000128E6">
      <w:pPr>
        <w:rPr>
          <w:rFonts w:cstheme="minorHAnsi"/>
          <w:szCs w:val="24"/>
        </w:rPr>
      </w:pPr>
    </w:p>
    <w:p w14:paraId="6C3AE38A" w14:textId="761D2CBF" w:rsidR="00F42B67" w:rsidRPr="008A0AEC" w:rsidRDefault="00F42B67" w:rsidP="000128E6">
      <w:pPr>
        <w:jc w:val="center"/>
        <w:rPr>
          <w:rFonts w:cstheme="minorHAnsi"/>
          <w:b/>
          <w:szCs w:val="24"/>
        </w:rPr>
      </w:pPr>
      <w:r w:rsidRPr="008A0AEC">
        <w:rPr>
          <w:rFonts w:cstheme="minorHAnsi"/>
          <w:b/>
          <w:szCs w:val="24"/>
        </w:rPr>
        <w:t>Cuadro</w:t>
      </w:r>
      <w:r w:rsidR="001C0230" w:rsidRPr="008A0AEC">
        <w:rPr>
          <w:rFonts w:cstheme="minorHAnsi"/>
          <w:b/>
          <w:szCs w:val="24"/>
        </w:rPr>
        <w:t xml:space="preserve"> </w:t>
      </w:r>
      <w:r w:rsidR="001509CB" w:rsidRPr="008A0AEC">
        <w:rPr>
          <w:rFonts w:cstheme="minorHAnsi"/>
          <w:b/>
          <w:szCs w:val="24"/>
        </w:rPr>
        <w:t>2</w:t>
      </w:r>
    </w:p>
    <w:p w14:paraId="71672796" w14:textId="7A4E7344" w:rsidR="001C0230" w:rsidRPr="008A0AEC" w:rsidRDefault="001C0230" w:rsidP="000128E6">
      <w:pPr>
        <w:jc w:val="center"/>
        <w:rPr>
          <w:rFonts w:cstheme="minorHAnsi"/>
          <w:szCs w:val="24"/>
        </w:rPr>
      </w:pPr>
      <w:r w:rsidRPr="008A0AEC">
        <w:rPr>
          <w:rFonts w:cstheme="minorHAnsi"/>
          <w:szCs w:val="24"/>
        </w:rPr>
        <w:t>Tasa real esperada 2013 al 20</w:t>
      </w:r>
      <w:r w:rsidR="00F15F0F">
        <w:rPr>
          <w:rFonts w:cstheme="minorHAnsi"/>
          <w:szCs w:val="24"/>
        </w:rPr>
        <w:t>20</w:t>
      </w:r>
    </w:p>
    <w:tbl>
      <w:tblPr>
        <w:tblW w:w="5524" w:type="dxa"/>
        <w:jc w:val="center"/>
        <w:tblLayout w:type="fixed"/>
        <w:tblCellMar>
          <w:left w:w="70" w:type="dxa"/>
          <w:right w:w="70" w:type="dxa"/>
        </w:tblCellMar>
        <w:tblLook w:val="04A0" w:firstRow="1" w:lastRow="0" w:firstColumn="1" w:lastColumn="0" w:noHBand="0" w:noVBand="1"/>
      </w:tblPr>
      <w:tblGrid>
        <w:gridCol w:w="2240"/>
        <w:gridCol w:w="1642"/>
        <w:gridCol w:w="1642"/>
      </w:tblGrid>
      <w:tr w:rsidR="00F42B67" w:rsidRPr="00F42B67" w14:paraId="31B38C4B" w14:textId="77777777" w:rsidTr="00FE4312">
        <w:trPr>
          <w:trHeight w:val="765"/>
          <w:jc w:val="center"/>
        </w:trPr>
        <w:tc>
          <w:tcPr>
            <w:tcW w:w="224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44864D2B" w14:textId="77777777" w:rsidR="00F42B67" w:rsidRPr="001F1731" w:rsidRDefault="00F42B67" w:rsidP="00F67C5E">
            <w:pPr>
              <w:ind w:left="67"/>
              <w:jc w:val="center"/>
              <w:rPr>
                <w:rFonts w:ascii="Calibri" w:eastAsia="Times New Roman" w:hAnsi="Calibri" w:cs="Calibri"/>
                <w:b/>
                <w:color w:val="FFFFFF" w:themeColor="background1"/>
                <w:sz w:val="22"/>
                <w:lang w:eastAsia="es-CR"/>
              </w:rPr>
            </w:pPr>
            <w:r w:rsidRPr="001F1731">
              <w:rPr>
                <w:rFonts w:ascii="Calibri" w:eastAsia="Times New Roman" w:hAnsi="Calibri" w:cs="Calibri"/>
                <w:b/>
                <w:color w:val="FFFFFF" w:themeColor="background1"/>
                <w:sz w:val="22"/>
                <w:lang w:eastAsia="es-CR"/>
              </w:rPr>
              <w:t>Periodos anuales</w:t>
            </w:r>
          </w:p>
        </w:tc>
        <w:tc>
          <w:tcPr>
            <w:tcW w:w="1642" w:type="dxa"/>
            <w:tcBorders>
              <w:top w:val="single" w:sz="4" w:space="0" w:color="auto"/>
              <w:left w:val="nil"/>
              <w:bottom w:val="single" w:sz="4" w:space="0" w:color="auto"/>
              <w:right w:val="single" w:sz="4" w:space="0" w:color="auto"/>
            </w:tcBorders>
            <w:shd w:val="clear" w:color="auto" w:fill="365F91" w:themeFill="accent1" w:themeFillShade="BF"/>
            <w:vAlign w:val="center"/>
            <w:hideMark/>
          </w:tcPr>
          <w:p w14:paraId="6F4B3912" w14:textId="520FB839" w:rsidR="00F42B67" w:rsidRPr="001F1731" w:rsidRDefault="001C0230" w:rsidP="00F67C5E">
            <w:pPr>
              <w:ind w:left="67"/>
              <w:jc w:val="center"/>
              <w:rPr>
                <w:rFonts w:ascii="Calibri" w:eastAsia="Times New Roman" w:hAnsi="Calibri" w:cs="Calibri"/>
                <w:b/>
                <w:color w:val="FFFFFF" w:themeColor="background1"/>
                <w:sz w:val="22"/>
                <w:lang w:eastAsia="es-CR"/>
              </w:rPr>
            </w:pPr>
            <w:r w:rsidRPr="001F1731">
              <w:rPr>
                <w:rFonts w:ascii="Calibri" w:eastAsia="Times New Roman" w:hAnsi="Calibri" w:cs="Calibri"/>
                <w:b/>
                <w:color w:val="FFFFFF" w:themeColor="background1"/>
                <w:sz w:val="22"/>
                <w:lang w:eastAsia="es-CR"/>
              </w:rPr>
              <w:t>Promedio tasa real esperada</w:t>
            </w:r>
          </w:p>
        </w:tc>
        <w:tc>
          <w:tcPr>
            <w:tcW w:w="1642" w:type="dxa"/>
            <w:tcBorders>
              <w:top w:val="single" w:sz="4" w:space="0" w:color="auto"/>
              <w:left w:val="nil"/>
              <w:bottom w:val="single" w:sz="4" w:space="0" w:color="auto"/>
              <w:right w:val="single" w:sz="4" w:space="0" w:color="auto"/>
            </w:tcBorders>
            <w:shd w:val="clear" w:color="auto" w:fill="4F81BD" w:themeFill="accent1"/>
            <w:vAlign w:val="center"/>
            <w:hideMark/>
          </w:tcPr>
          <w:p w14:paraId="33D94833" w14:textId="77777777" w:rsidR="00F42B67" w:rsidRPr="001F1731" w:rsidRDefault="00F42B67" w:rsidP="00F67C5E">
            <w:pPr>
              <w:ind w:left="67"/>
              <w:jc w:val="center"/>
              <w:rPr>
                <w:rFonts w:ascii="Calibri" w:eastAsia="Times New Roman" w:hAnsi="Calibri" w:cs="Calibri"/>
                <w:b/>
                <w:color w:val="FFFFFF" w:themeColor="background1"/>
                <w:sz w:val="22"/>
                <w:lang w:eastAsia="es-CR"/>
              </w:rPr>
            </w:pPr>
            <w:r w:rsidRPr="001F1731">
              <w:rPr>
                <w:rFonts w:ascii="Calibri" w:eastAsia="Times New Roman" w:hAnsi="Calibri" w:cs="Calibri"/>
                <w:b/>
                <w:color w:val="FFFFFF" w:themeColor="background1"/>
                <w:sz w:val="22"/>
                <w:lang w:eastAsia="es-CR"/>
              </w:rPr>
              <w:t>Redondeo</w:t>
            </w:r>
          </w:p>
        </w:tc>
      </w:tr>
      <w:tr w:rsidR="00F42B67" w:rsidRPr="00F42B67" w14:paraId="440A2F08" w14:textId="77777777" w:rsidTr="00162F74">
        <w:trPr>
          <w:trHeight w:val="30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5019E2D3" w14:textId="77777777" w:rsidR="00F42B67" w:rsidRPr="001F1731" w:rsidRDefault="00F42B67" w:rsidP="00F67C5E">
            <w:pPr>
              <w:ind w:left="67"/>
              <w:jc w:val="left"/>
              <w:rPr>
                <w:rFonts w:ascii="Calibri" w:eastAsia="Times New Roman" w:hAnsi="Calibri" w:cs="Calibri"/>
                <w:color w:val="000000"/>
                <w:sz w:val="22"/>
                <w:lang w:eastAsia="es-CR"/>
              </w:rPr>
            </w:pPr>
            <w:r w:rsidRPr="001F1731">
              <w:rPr>
                <w:rFonts w:ascii="Calibri" w:eastAsia="Times New Roman" w:hAnsi="Calibri" w:cs="Calibri"/>
                <w:color w:val="000000"/>
                <w:sz w:val="22"/>
                <w:lang w:eastAsia="es-CR"/>
              </w:rPr>
              <w:t>Ene- Dic 2013</w:t>
            </w:r>
          </w:p>
        </w:tc>
        <w:tc>
          <w:tcPr>
            <w:tcW w:w="1642" w:type="dxa"/>
            <w:tcBorders>
              <w:top w:val="nil"/>
              <w:left w:val="nil"/>
              <w:bottom w:val="single" w:sz="4" w:space="0" w:color="auto"/>
              <w:right w:val="single" w:sz="4" w:space="0" w:color="auto"/>
            </w:tcBorders>
            <w:shd w:val="clear" w:color="auto" w:fill="auto"/>
            <w:noWrap/>
            <w:vAlign w:val="bottom"/>
            <w:hideMark/>
          </w:tcPr>
          <w:p w14:paraId="0C1FA0BB" w14:textId="77777777" w:rsidR="00F42B67" w:rsidRPr="001F1731" w:rsidRDefault="00F42B67" w:rsidP="000128E6">
            <w:pPr>
              <w:ind w:left="67"/>
              <w:jc w:val="center"/>
              <w:rPr>
                <w:rFonts w:ascii="Calibri" w:eastAsia="Times New Roman" w:hAnsi="Calibri" w:cs="Calibri"/>
                <w:bCs/>
                <w:color w:val="000000"/>
                <w:sz w:val="22"/>
                <w:lang w:eastAsia="es-CR"/>
              </w:rPr>
            </w:pPr>
            <w:r w:rsidRPr="001F1731">
              <w:rPr>
                <w:rFonts w:ascii="Calibri" w:eastAsia="Times New Roman" w:hAnsi="Calibri" w:cs="Calibri"/>
                <w:bCs/>
                <w:color w:val="000000"/>
                <w:sz w:val="22"/>
                <w:lang w:eastAsia="es-CR"/>
              </w:rPr>
              <w:t>-0,81</w:t>
            </w:r>
          </w:p>
        </w:tc>
        <w:tc>
          <w:tcPr>
            <w:tcW w:w="1642" w:type="dxa"/>
            <w:tcBorders>
              <w:top w:val="nil"/>
              <w:left w:val="nil"/>
              <w:bottom w:val="single" w:sz="4" w:space="0" w:color="auto"/>
              <w:right w:val="single" w:sz="4" w:space="0" w:color="auto"/>
            </w:tcBorders>
            <w:shd w:val="clear" w:color="auto" w:fill="auto"/>
            <w:noWrap/>
            <w:vAlign w:val="bottom"/>
            <w:hideMark/>
          </w:tcPr>
          <w:p w14:paraId="3465E4E0" w14:textId="7DAEA497" w:rsidR="00F42B67" w:rsidRPr="001F1731" w:rsidRDefault="00F42B67" w:rsidP="000128E6">
            <w:pPr>
              <w:ind w:left="67"/>
              <w:jc w:val="center"/>
              <w:rPr>
                <w:rFonts w:ascii="Calibri" w:eastAsia="Times New Roman" w:hAnsi="Calibri" w:cs="Calibri"/>
                <w:color w:val="000000"/>
                <w:sz w:val="22"/>
                <w:lang w:eastAsia="es-CR"/>
              </w:rPr>
            </w:pPr>
            <w:r w:rsidRPr="001F1731">
              <w:rPr>
                <w:rFonts w:ascii="Calibri" w:eastAsia="Times New Roman" w:hAnsi="Calibri" w:cs="Calibri"/>
                <w:color w:val="000000"/>
                <w:sz w:val="22"/>
                <w:lang w:eastAsia="es-CR"/>
              </w:rPr>
              <w:t>-0,8</w:t>
            </w:r>
            <w:r w:rsidR="00D0760A" w:rsidRPr="001F1731">
              <w:rPr>
                <w:rFonts w:ascii="Calibri" w:eastAsia="Times New Roman" w:hAnsi="Calibri" w:cs="Calibri"/>
                <w:color w:val="000000"/>
                <w:sz w:val="22"/>
                <w:lang w:eastAsia="es-CR"/>
              </w:rPr>
              <w:t>1</w:t>
            </w:r>
          </w:p>
        </w:tc>
      </w:tr>
      <w:tr w:rsidR="00F42B67" w:rsidRPr="00F42B67" w14:paraId="5ECB53E5" w14:textId="77777777" w:rsidTr="00162F74">
        <w:trPr>
          <w:trHeight w:val="30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55BB0E96" w14:textId="77777777" w:rsidR="00F42B67" w:rsidRPr="001F1731" w:rsidRDefault="00F42B67" w:rsidP="00F67C5E">
            <w:pPr>
              <w:ind w:left="67"/>
              <w:jc w:val="left"/>
              <w:rPr>
                <w:rFonts w:ascii="Calibri" w:eastAsia="Times New Roman" w:hAnsi="Calibri" w:cs="Calibri"/>
                <w:color w:val="000000"/>
                <w:sz w:val="22"/>
                <w:lang w:eastAsia="es-CR"/>
              </w:rPr>
            </w:pPr>
            <w:r w:rsidRPr="001F1731">
              <w:rPr>
                <w:rFonts w:ascii="Calibri" w:eastAsia="Times New Roman" w:hAnsi="Calibri" w:cs="Calibri"/>
                <w:color w:val="000000"/>
                <w:sz w:val="22"/>
                <w:lang w:eastAsia="es-CR"/>
              </w:rPr>
              <w:t>Ene 2013-Dic 2014</w:t>
            </w:r>
          </w:p>
        </w:tc>
        <w:tc>
          <w:tcPr>
            <w:tcW w:w="1642" w:type="dxa"/>
            <w:tcBorders>
              <w:top w:val="nil"/>
              <w:left w:val="nil"/>
              <w:bottom w:val="single" w:sz="4" w:space="0" w:color="auto"/>
              <w:right w:val="single" w:sz="4" w:space="0" w:color="auto"/>
            </w:tcBorders>
            <w:shd w:val="clear" w:color="auto" w:fill="auto"/>
            <w:noWrap/>
            <w:vAlign w:val="bottom"/>
            <w:hideMark/>
          </w:tcPr>
          <w:p w14:paraId="042B71AE" w14:textId="77777777" w:rsidR="00F42B67" w:rsidRPr="001F1731" w:rsidRDefault="00F42B67" w:rsidP="000128E6">
            <w:pPr>
              <w:ind w:left="67"/>
              <w:jc w:val="center"/>
              <w:rPr>
                <w:rFonts w:ascii="Calibri" w:eastAsia="Times New Roman" w:hAnsi="Calibri" w:cs="Calibri"/>
                <w:bCs/>
                <w:color w:val="000000"/>
                <w:sz w:val="22"/>
                <w:lang w:eastAsia="es-CR"/>
              </w:rPr>
            </w:pPr>
            <w:r w:rsidRPr="001F1731">
              <w:rPr>
                <w:rFonts w:ascii="Calibri" w:eastAsia="Times New Roman" w:hAnsi="Calibri" w:cs="Calibri"/>
                <w:bCs/>
                <w:color w:val="000000"/>
                <w:sz w:val="22"/>
                <w:lang w:eastAsia="es-CR"/>
              </w:rPr>
              <w:t>-0,28</w:t>
            </w:r>
          </w:p>
        </w:tc>
        <w:tc>
          <w:tcPr>
            <w:tcW w:w="1642" w:type="dxa"/>
            <w:tcBorders>
              <w:top w:val="nil"/>
              <w:left w:val="nil"/>
              <w:bottom w:val="single" w:sz="4" w:space="0" w:color="auto"/>
              <w:right w:val="single" w:sz="4" w:space="0" w:color="auto"/>
            </w:tcBorders>
            <w:shd w:val="clear" w:color="auto" w:fill="auto"/>
            <w:noWrap/>
            <w:vAlign w:val="bottom"/>
            <w:hideMark/>
          </w:tcPr>
          <w:p w14:paraId="11B4C3E1" w14:textId="77777777" w:rsidR="00F42B67" w:rsidRPr="001F1731" w:rsidRDefault="00F42B67" w:rsidP="000128E6">
            <w:pPr>
              <w:ind w:left="67"/>
              <w:jc w:val="center"/>
              <w:rPr>
                <w:rFonts w:ascii="Calibri" w:eastAsia="Times New Roman" w:hAnsi="Calibri" w:cs="Calibri"/>
                <w:color w:val="000000"/>
                <w:sz w:val="22"/>
                <w:lang w:eastAsia="es-CR"/>
              </w:rPr>
            </w:pPr>
            <w:r w:rsidRPr="001F1731">
              <w:rPr>
                <w:rFonts w:ascii="Calibri" w:eastAsia="Times New Roman" w:hAnsi="Calibri" w:cs="Calibri"/>
                <w:color w:val="000000"/>
                <w:sz w:val="22"/>
                <w:lang w:eastAsia="es-CR"/>
              </w:rPr>
              <w:t>-0,30</w:t>
            </w:r>
          </w:p>
        </w:tc>
      </w:tr>
      <w:tr w:rsidR="00F42B67" w:rsidRPr="00F42B67" w14:paraId="729009AE" w14:textId="77777777" w:rsidTr="00162F74">
        <w:trPr>
          <w:trHeight w:val="30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395E6B22" w14:textId="77777777" w:rsidR="00F42B67" w:rsidRPr="001F1731" w:rsidRDefault="00F42B67" w:rsidP="00F67C5E">
            <w:pPr>
              <w:ind w:left="67"/>
              <w:jc w:val="left"/>
              <w:rPr>
                <w:rFonts w:ascii="Calibri" w:eastAsia="Times New Roman" w:hAnsi="Calibri" w:cs="Calibri"/>
                <w:color w:val="000000"/>
                <w:sz w:val="22"/>
                <w:lang w:eastAsia="es-CR"/>
              </w:rPr>
            </w:pPr>
            <w:r w:rsidRPr="001F1731">
              <w:rPr>
                <w:rFonts w:ascii="Calibri" w:eastAsia="Times New Roman" w:hAnsi="Calibri" w:cs="Calibri"/>
                <w:color w:val="000000"/>
                <w:sz w:val="22"/>
                <w:lang w:eastAsia="es-CR"/>
              </w:rPr>
              <w:t>Ene 2013-Dic 2015</w:t>
            </w:r>
          </w:p>
        </w:tc>
        <w:tc>
          <w:tcPr>
            <w:tcW w:w="1642" w:type="dxa"/>
            <w:tcBorders>
              <w:top w:val="nil"/>
              <w:left w:val="nil"/>
              <w:bottom w:val="single" w:sz="4" w:space="0" w:color="auto"/>
              <w:right w:val="single" w:sz="4" w:space="0" w:color="auto"/>
            </w:tcBorders>
            <w:shd w:val="clear" w:color="auto" w:fill="auto"/>
            <w:noWrap/>
            <w:vAlign w:val="bottom"/>
            <w:hideMark/>
          </w:tcPr>
          <w:p w14:paraId="7640C340" w14:textId="77777777" w:rsidR="00F42B67" w:rsidRPr="001F1731" w:rsidRDefault="00F42B67" w:rsidP="000128E6">
            <w:pPr>
              <w:ind w:left="67"/>
              <w:jc w:val="center"/>
              <w:rPr>
                <w:rFonts w:ascii="Calibri" w:eastAsia="Times New Roman" w:hAnsi="Calibri" w:cs="Calibri"/>
                <w:bCs/>
                <w:color w:val="000000"/>
                <w:sz w:val="22"/>
                <w:lang w:eastAsia="es-CR"/>
              </w:rPr>
            </w:pPr>
            <w:r w:rsidRPr="001F1731">
              <w:rPr>
                <w:rFonts w:ascii="Calibri" w:eastAsia="Times New Roman" w:hAnsi="Calibri" w:cs="Calibri"/>
                <w:bCs/>
                <w:color w:val="000000"/>
                <w:sz w:val="22"/>
                <w:lang w:eastAsia="es-CR"/>
              </w:rPr>
              <w:t>0,56</w:t>
            </w:r>
          </w:p>
        </w:tc>
        <w:tc>
          <w:tcPr>
            <w:tcW w:w="1642" w:type="dxa"/>
            <w:tcBorders>
              <w:top w:val="nil"/>
              <w:left w:val="nil"/>
              <w:bottom w:val="single" w:sz="4" w:space="0" w:color="auto"/>
              <w:right w:val="single" w:sz="4" w:space="0" w:color="auto"/>
            </w:tcBorders>
            <w:shd w:val="clear" w:color="auto" w:fill="auto"/>
            <w:noWrap/>
            <w:vAlign w:val="bottom"/>
            <w:hideMark/>
          </w:tcPr>
          <w:p w14:paraId="2D8F6E87" w14:textId="77777777" w:rsidR="00F42B67" w:rsidRPr="001F1731" w:rsidRDefault="00F42B67" w:rsidP="000128E6">
            <w:pPr>
              <w:ind w:left="67"/>
              <w:jc w:val="center"/>
              <w:rPr>
                <w:rFonts w:ascii="Calibri" w:eastAsia="Times New Roman" w:hAnsi="Calibri" w:cs="Calibri"/>
                <w:color w:val="000000"/>
                <w:sz w:val="22"/>
                <w:lang w:eastAsia="es-CR"/>
              </w:rPr>
            </w:pPr>
            <w:r w:rsidRPr="001F1731">
              <w:rPr>
                <w:rFonts w:ascii="Calibri" w:eastAsia="Times New Roman" w:hAnsi="Calibri" w:cs="Calibri"/>
                <w:color w:val="000000"/>
                <w:sz w:val="22"/>
                <w:lang w:eastAsia="es-CR"/>
              </w:rPr>
              <w:t>0,55</w:t>
            </w:r>
          </w:p>
        </w:tc>
      </w:tr>
      <w:tr w:rsidR="00F42B67" w:rsidRPr="00F42B67" w14:paraId="0C0D7D16" w14:textId="77777777" w:rsidTr="00162F74">
        <w:trPr>
          <w:trHeight w:val="30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AD053D8" w14:textId="77777777" w:rsidR="00F42B67" w:rsidRPr="001F1731" w:rsidRDefault="00F42B67" w:rsidP="00F67C5E">
            <w:pPr>
              <w:ind w:left="67"/>
              <w:jc w:val="left"/>
              <w:rPr>
                <w:rFonts w:ascii="Calibri" w:eastAsia="Times New Roman" w:hAnsi="Calibri" w:cs="Calibri"/>
                <w:color w:val="000000"/>
                <w:sz w:val="22"/>
                <w:lang w:eastAsia="es-CR"/>
              </w:rPr>
            </w:pPr>
            <w:r w:rsidRPr="001F1731">
              <w:rPr>
                <w:rFonts w:ascii="Calibri" w:eastAsia="Times New Roman" w:hAnsi="Calibri" w:cs="Calibri"/>
                <w:color w:val="000000"/>
                <w:sz w:val="22"/>
                <w:lang w:eastAsia="es-CR"/>
              </w:rPr>
              <w:t>Ene 2013-Dic 2016</w:t>
            </w:r>
          </w:p>
        </w:tc>
        <w:tc>
          <w:tcPr>
            <w:tcW w:w="1642" w:type="dxa"/>
            <w:tcBorders>
              <w:top w:val="nil"/>
              <w:left w:val="nil"/>
              <w:bottom w:val="single" w:sz="4" w:space="0" w:color="auto"/>
              <w:right w:val="single" w:sz="4" w:space="0" w:color="auto"/>
            </w:tcBorders>
            <w:shd w:val="clear" w:color="auto" w:fill="auto"/>
            <w:noWrap/>
            <w:vAlign w:val="bottom"/>
            <w:hideMark/>
          </w:tcPr>
          <w:p w14:paraId="452D5438" w14:textId="77777777" w:rsidR="00F42B67" w:rsidRPr="001F1731" w:rsidRDefault="00F42B67" w:rsidP="000128E6">
            <w:pPr>
              <w:ind w:left="67"/>
              <w:jc w:val="center"/>
              <w:rPr>
                <w:rFonts w:ascii="Calibri" w:eastAsia="Times New Roman" w:hAnsi="Calibri" w:cs="Calibri"/>
                <w:bCs/>
                <w:color w:val="000000"/>
                <w:sz w:val="22"/>
                <w:lang w:eastAsia="es-CR"/>
              </w:rPr>
            </w:pPr>
            <w:r w:rsidRPr="001F1731">
              <w:rPr>
                <w:rFonts w:ascii="Calibri" w:eastAsia="Times New Roman" w:hAnsi="Calibri" w:cs="Calibri"/>
                <w:bCs/>
                <w:color w:val="000000"/>
                <w:sz w:val="22"/>
                <w:lang w:eastAsia="es-CR"/>
              </w:rPr>
              <w:t>0,84</w:t>
            </w:r>
          </w:p>
        </w:tc>
        <w:tc>
          <w:tcPr>
            <w:tcW w:w="1642" w:type="dxa"/>
            <w:tcBorders>
              <w:top w:val="nil"/>
              <w:left w:val="nil"/>
              <w:bottom w:val="single" w:sz="4" w:space="0" w:color="auto"/>
              <w:right w:val="single" w:sz="4" w:space="0" w:color="auto"/>
            </w:tcBorders>
            <w:shd w:val="clear" w:color="auto" w:fill="auto"/>
            <w:noWrap/>
            <w:vAlign w:val="bottom"/>
            <w:hideMark/>
          </w:tcPr>
          <w:p w14:paraId="7704BE82" w14:textId="77777777" w:rsidR="00F42B67" w:rsidRPr="001F1731" w:rsidRDefault="00F42B67" w:rsidP="000128E6">
            <w:pPr>
              <w:ind w:left="67"/>
              <w:jc w:val="center"/>
              <w:rPr>
                <w:rFonts w:ascii="Calibri" w:eastAsia="Times New Roman" w:hAnsi="Calibri" w:cs="Calibri"/>
                <w:color w:val="000000"/>
                <w:sz w:val="22"/>
                <w:lang w:eastAsia="es-CR"/>
              </w:rPr>
            </w:pPr>
            <w:r w:rsidRPr="001F1731">
              <w:rPr>
                <w:rFonts w:ascii="Calibri" w:eastAsia="Times New Roman" w:hAnsi="Calibri" w:cs="Calibri"/>
                <w:color w:val="000000"/>
                <w:sz w:val="22"/>
                <w:lang w:eastAsia="es-CR"/>
              </w:rPr>
              <w:t>0,80</w:t>
            </w:r>
          </w:p>
        </w:tc>
      </w:tr>
      <w:tr w:rsidR="00F42B67" w:rsidRPr="00F42B67" w14:paraId="1E09C04F" w14:textId="77777777" w:rsidTr="00601E25">
        <w:trPr>
          <w:trHeight w:val="30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7C847235" w14:textId="77777777" w:rsidR="00F42B67" w:rsidRPr="001F1731" w:rsidRDefault="00F42B67" w:rsidP="00F67C5E">
            <w:pPr>
              <w:ind w:left="67"/>
              <w:jc w:val="left"/>
              <w:rPr>
                <w:rFonts w:ascii="Calibri" w:eastAsia="Times New Roman" w:hAnsi="Calibri" w:cs="Calibri"/>
                <w:color w:val="000000"/>
                <w:sz w:val="22"/>
                <w:lang w:eastAsia="es-CR"/>
              </w:rPr>
            </w:pPr>
            <w:r w:rsidRPr="001F1731">
              <w:rPr>
                <w:rFonts w:ascii="Calibri" w:eastAsia="Times New Roman" w:hAnsi="Calibri" w:cs="Calibri"/>
                <w:color w:val="000000"/>
                <w:sz w:val="22"/>
                <w:lang w:eastAsia="es-CR"/>
              </w:rPr>
              <w:t>Ene 2013-Dic 2017</w:t>
            </w:r>
          </w:p>
        </w:tc>
        <w:tc>
          <w:tcPr>
            <w:tcW w:w="1642" w:type="dxa"/>
            <w:tcBorders>
              <w:top w:val="nil"/>
              <w:left w:val="nil"/>
              <w:bottom w:val="single" w:sz="4" w:space="0" w:color="auto"/>
              <w:right w:val="single" w:sz="4" w:space="0" w:color="auto"/>
            </w:tcBorders>
            <w:shd w:val="clear" w:color="auto" w:fill="auto"/>
            <w:noWrap/>
            <w:vAlign w:val="bottom"/>
            <w:hideMark/>
          </w:tcPr>
          <w:p w14:paraId="001E4475" w14:textId="77777777" w:rsidR="00F42B67" w:rsidRPr="001F1731" w:rsidRDefault="00F42B67" w:rsidP="000128E6">
            <w:pPr>
              <w:ind w:left="67"/>
              <w:jc w:val="center"/>
              <w:rPr>
                <w:rFonts w:ascii="Calibri" w:eastAsia="Times New Roman" w:hAnsi="Calibri" w:cs="Calibri"/>
                <w:bCs/>
                <w:color w:val="000000"/>
                <w:sz w:val="22"/>
                <w:lang w:eastAsia="es-CR"/>
              </w:rPr>
            </w:pPr>
            <w:r w:rsidRPr="001F1731">
              <w:rPr>
                <w:rFonts w:ascii="Calibri" w:eastAsia="Times New Roman" w:hAnsi="Calibri" w:cs="Calibri"/>
                <w:bCs/>
                <w:color w:val="000000"/>
                <w:sz w:val="22"/>
                <w:lang w:eastAsia="es-CR"/>
              </w:rPr>
              <w:t>1,11</w:t>
            </w:r>
          </w:p>
        </w:tc>
        <w:tc>
          <w:tcPr>
            <w:tcW w:w="1642" w:type="dxa"/>
            <w:tcBorders>
              <w:top w:val="nil"/>
              <w:left w:val="nil"/>
              <w:bottom w:val="single" w:sz="4" w:space="0" w:color="auto"/>
              <w:right w:val="single" w:sz="4" w:space="0" w:color="auto"/>
            </w:tcBorders>
            <w:shd w:val="clear" w:color="auto" w:fill="auto"/>
            <w:noWrap/>
            <w:vAlign w:val="bottom"/>
            <w:hideMark/>
          </w:tcPr>
          <w:p w14:paraId="2434F0E1" w14:textId="77777777" w:rsidR="00F42B67" w:rsidRPr="001F1731" w:rsidRDefault="00F42B67" w:rsidP="000128E6">
            <w:pPr>
              <w:ind w:left="67"/>
              <w:jc w:val="center"/>
              <w:rPr>
                <w:rFonts w:ascii="Calibri" w:eastAsia="Times New Roman" w:hAnsi="Calibri" w:cs="Calibri"/>
                <w:color w:val="000000"/>
                <w:sz w:val="22"/>
                <w:lang w:eastAsia="es-CR"/>
              </w:rPr>
            </w:pPr>
            <w:r w:rsidRPr="001F1731">
              <w:rPr>
                <w:rFonts w:ascii="Calibri" w:eastAsia="Times New Roman" w:hAnsi="Calibri" w:cs="Calibri"/>
                <w:color w:val="000000"/>
                <w:sz w:val="22"/>
                <w:lang w:eastAsia="es-CR"/>
              </w:rPr>
              <w:t>1,10</w:t>
            </w:r>
          </w:p>
        </w:tc>
      </w:tr>
      <w:tr w:rsidR="00F42B67" w:rsidRPr="00F42B67" w14:paraId="783BBE2E" w14:textId="77777777" w:rsidTr="00601E25">
        <w:trPr>
          <w:trHeight w:val="300"/>
          <w:jc w:val="center"/>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34D05" w14:textId="77777777" w:rsidR="00F42B67" w:rsidRPr="001F1731" w:rsidRDefault="00F42B67" w:rsidP="00F67C5E">
            <w:pPr>
              <w:ind w:left="67"/>
              <w:jc w:val="left"/>
              <w:rPr>
                <w:rFonts w:ascii="Calibri" w:eastAsia="Times New Roman" w:hAnsi="Calibri" w:cs="Calibri"/>
                <w:color w:val="000000"/>
                <w:sz w:val="22"/>
                <w:lang w:eastAsia="es-CR"/>
              </w:rPr>
            </w:pPr>
            <w:r w:rsidRPr="001F1731">
              <w:rPr>
                <w:rFonts w:ascii="Calibri" w:eastAsia="Times New Roman" w:hAnsi="Calibri" w:cs="Calibri"/>
                <w:color w:val="000000"/>
                <w:sz w:val="22"/>
                <w:lang w:eastAsia="es-CR"/>
              </w:rPr>
              <w:t>Ene 2013-Dic 2018</w:t>
            </w:r>
          </w:p>
        </w:tc>
        <w:tc>
          <w:tcPr>
            <w:tcW w:w="1642" w:type="dxa"/>
            <w:tcBorders>
              <w:top w:val="single" w:sz="4" w:space="0" w:color="auto"/>
              <w:left w:val="nil"/>
              <w:bottom w:val="single" w:sz="4" w:space="0" w:color="auto"/>
              <w:right w:val="single" w:sz="4" w:space="0" w:color="auto"/>
            </w:tcBorders>
            <w:shd w:val="clear" w:color="auto" w:fill="auto"/>
            <w:noWrap/>
            <w:vAlign w:val="bottom"/>
            <w:hideMark/>
          </w:tcPr>
          <w:p w14:paraId="204EAD1B" w14:textId="77777777" w:rsidR="00F42B67" w:rsidRPr="001F1731" w:rsidRDefault="00F42B67" w:rsidP="000128E6">
            <w:pPr>
              <w:ind w:left="67"/>
              <w:jc w:val="center"/>
              <w:rPr>
                <w:rFonts w:ascii="Calibri" w:eastAsia="Times New Roman" w:hAnsi="Calibri" w:cs="Calibri"/>
                <w:bCs/>
                <w:color w:val="000000"/>
                <w:sz w:val="22"/>
                <w:lang w:eastAsia="es-CR"/>
              </w:rPr>
            </w:pPr>
            <w:r w:rsidRPr="001F1731">
              <w:rPr>
                <w:rFonts w:ascii="Calibri" w:eastAsia="Times New Roman" w:hAnsi="Calibri" w:cs="Calibri"/>
                <w:bCs/>
                <w:color w:val="000000"/>
                <w:sz w:val="22"/>
                <w:lang w:eastAsia="es-CR"/>
              </w:rPr>
              <w:t>1,39</w:t>
            </w:r>
          </w:p>
        </w:tc>
        <w:tc>
          <w:tcPr>
            <w:tcW w:w="1642" w:type="dxa"/>
            <w:tcBorders>
              <w:top w:val="single" w:sz="4" w:space="0" w:color="auto"/>
              <w:left w:val="nil"/>
              <w:bottom w:val="single" w:sz="4" w:space="0" w:color="auto"/>
              <w:right w:val="single" w:sz="4" w:space="0" w:color="auto"/>
            </w:tcBorders>
            <w:shd w:val="clear" w:color="auto" w:fill="auto"/>
            <w:noWrap/>
            <w:vAlign w:val="bottom"/>
            <w:hideMark/>
          </w:tcPr>
          <w:p w14:paraId="0553BB0E" w14:textId="77777777" w:rsidR="00F42B67" w:rsidRPr="001F1731" w:rsidRDefault="00F42B67" w:rsidP="000128E6">
            <w:pPr>
              <w:ind w:left="67"/>
              <w:jc w:val="center"/>
              <w:rPr>
                <w:rFonts w:ascii="Calibri" w:eastAsia="Times New Roman" w:hAnsi="Calibri" w:cs="Calibri"/>
                <w:color w:val="000000"/>
                <w:sz w:val="22"/>
                <w:lang w:eastAsia="es-CR"/>
              </w:rPr>
            </w:pPr>
            <w:r w:rsidRPr="001F1731">
              <w:rPr>
                <w:rFonts w:ascii="Calibri" w:eastAsia="Times New Roman" w:hAnsi="Calibri" w:cs="Calibri"/>
                <w:color w:val="000000"/>
                <w:sz w:val="22"/>
                <w:lang w:eastAsia="es-CR"/>
              </w:rPr>
              <w:t>1,35</w:t>
            </w:r>
          </w:p>
        </w:tc>
      </w:tr>
      <w:tr w:rsidR="001F1731" w:rsidRPr="00F42B67" w14:paraId="61E02131" w14:textId="77777777" w:rsidTr="004503AC">
        <w:trPr>
          <w:trHeight w:val="300"/>
          <w:jc w:val="center"/>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53CD0" w14:textId="33AC4E4E" w:rsidR="001F1731" w:rsidRPr="00F15F0F" w:rsidRDefault="001F1731" w:rsidP="001F1731">
            <w:pPr>
              <w:ind w:left="67"/>
              <w:jc w:val="left"/>
              <w:rPr>
                <w:rFonts w:ascii="Calibri" w:eastAsia="Times New Roman" w:hAnsi="Calibri" w:cs="Calibri"/>
                <w:bCs/>
                <w:color w:val="000000"/>
                <w:sz w:val="22"/>
                <w:lang w:eastAsia="es-CR"/>
              </w:rPr>
            </w:pPr>
            <w:r w:rsidRPr="00F15F0F">
              <w:rPr>
                <w:rFonts w:ascii="Calibri" w:eastAsia="Times New Roman" w:hAnsi="Calibri" w:cs="Calibri"/>
                <w:bCs/>
                <w:color w:val="000000"/>
                <w:sz w:val="22"/>
                <w:lang w:eastAsia="es-CR"/>
              </w:rPr>
              <w:t>Ene 2013 – Dic 2019</w:t>
            </w:r>
          </w:p>
        </w:tc>
        <w:tc>
          <w:tcPr>
            <w:tcW w:w="1642" w:type="dxa"/>
            <w:tcBorders>
              <w:top w:val="single" w:sz="4" w:space="0" w:color="auto"/>
              <w:left w:val="nil"/>
              <w:bottom w:val="single" w:sz="4" w:space="0" w:color="auto"/>
              <w:right w:val="single" w:sz="4" w:space="0" w:color="auto"/>
            </w:tcBorders>
            <w:shd w:val="clear" w:color="auto" w:fill="auto"/>
            <w:noWrap/>
          </w:tcPr>
          <w:p w14:paraId="5C7AC82F" w14:textId="289655DC" w:rsidR="001F1731" w:rsidRPr="00F15F0F" w:rsidRDefault="001F1731" w:rsidP="000128E6">
            <w:pPr>
              <w:ind w:left="67"/>
              <w:jc w:val="center"/>
              <w:rPr>
                <w:rFonts w:ascii="Calibri" w:eastAsia="Times New Roman" w:hAnsi="Calibri" w:cs="Calibri"/>
                <w:bCs/>
                <w:color w:val="000000"/>
                <w:sz w:val="22"/>
                <w:lang w:eastAsia="es-CR"/>
              </w:rPr>
            </w:pPr>
            <w:r w:rsidRPr="00F15F0F">
              <w:rPr>
                <w:bCs/>
                <w:sz w:val="22"/>
              </w:rPr>
              <w:t>1,52</w:t>
            </w:r>
          </w:p>
        </w:tc>
        <w:tc>
          <w:tcPr>
            <w:tcW w:w="1642" w:type="dxa"/>
            <w:tcBorders>
              <w:top w:val="single" w:sz="4" w:space="0" w:color="auto"/>
              <w:left w:val="nil"/>
              <w:bottom w:val="single" w:sz="4" w:space="0" w:color="auto"/>
              <w:right w:val="single" w:sz="4" w:space="0" w:color="auto"/>
            </w:tcBorders>
            <w:shd w:val="clear" w:color="auto" w:fill="auto"/>
            <w:noWrap/>
          </w:tcPr>
          <w:p w14:paraId="6D5E9DFF" w14:textId="2A68A01B" w:rsidR="001F1731" w:rsidRPr="00F15F0F" w:rsidRDefault="001F1731" w:rsidP="000128E6">
            <w:pPr>
              <w:ind w:left="67"/>
              <w:jc w:val="center"/>
              <w:rPr>
                <w:rFonts w:ascii="Calibri" w:eastAsia="Times New Roman" w:hAnsi="Calibri" w:cs="Calibri"/>
                <w:bCs/>
                <w:color w:val="000000"/>
                <w:sz w:val="22"/>
                <w:lang w:eastAsia="es-CR"/>
              </w:rPr>
            </w:pPr>
            <w:r w:rsidRPr="00F15F0F">
              <w:rPr>
                <w:bCs/>
                <w:sz w:val="22"/>
              </w:rPr>
              <w:t>1,50</w:t>
            </w:r>
          </w:p>
        </w:tc>
      </w:tr>
      <w:tr w:rsidR="00F15F0F" w:rsidRPr="00F42B67" w14:paraId="3B7B8FFE" w14:textId="77777777" w:rsidTr="008E5AAB">
        <w:trPr>
          <w:trHeight w:val="300"/>
          <w:jc w:val="center"/>
        </w:trPr>
        <w:tc>
          <w:tcPr>
            <w:tcW w:w="2240" w:type="dxa"/>
            <w:tcBorders>
              <w:top w:val="single" w:sz="4" w:space="0" w:color="auto"/>
              <w:left w:val="single" w:sz="4" w:space="0" w:color="auto"/>
              <w:bottom w:val="single" w:sz="4" w:space="0" w:color="auto"/>
              <w:right w:val="single" w:sz="4" w:space="0" w:color="auto"/>
            </w:tcBorders>
            <w:shd w:val="clear" w:color="auto" w:fill="auto"/>
            <w:noWrap/>
          </w:tcPr>
          <w:p w14:paraId="5678E6EE" w14:textId="365E50E8" w:rsidR="00F15F0F" w:rsidRPr="00F15F0F" w:rsidRDefault="00F15F0F" w:rsidP="00F15F0F">
            <w:pPr>
              <w:ind w:left="67"/>
              <w:jc w:val="left"/>
              <w:rPr>
                <w:rFonts w:ascii="Calibri" w:eastAsia="Times New Roman" w:hAnsi="Calibri" w:cs="Calibri"/>
                <w:b/>
                <w:bCs/>
                <w:color w:val="000000"/>
                <w:sz w:val="22"/>
                <w:szCs w:val="20"/>
                <w:lang w:eastAsia="es-CR"/>
              </w:rPr>
            </w:pPr>
            <w:r w:rsidRPr="00F15F0F">
              <w:rPr>
                <w:b/>
                <w:bCs/>
                <w:sz w:val="22"/>
                <w:szCs w:val="20"/>
              </w:rPr>
              <w:t>Ene 2013-Dic 2020</w:t>
            </w:r>
          </w:p>
        </w:tc>
        <w:tc>
          <w:tcPr>
            <w:tcW w:w="1642" w:type="dxa"/>
            <w:tcBorders>
              <w:top w:val="single" w:sz="4" w:space="0" w:color="auto"/>
              <w:left w:val="nil"/>
              <w:bottom w:val="single" w:sz="4" w:space="0" w:color="auto"/>
              <w:right w:val="single" w:sz="4" w:space="0" w:color="auto"/>
            </w:tcBorders>
            <w:shd w:val="clear" w:color="auto" w:fill="auto"/>
            <w:noWrap/>
          </w:tcPr>
          <w:p w14:paraId="774021A8" w14:textId="5B52ADE5" w:rsidR="00F15F0F" w:rsidRPr="00F15F0F" w:rsidRDefault="00F15F0F" w:rsidP="000128E6">
            <w:pPr>
              <w:ind w:left="67"/>
              <w:jc w:val="center"/>
              <w:rPr>
                <w:b/>
                <w:bCs/>
                <w:sz w:val="22"/>
                <w:szCs w:val="20"/>
              </w:rPr>
            </w:pPr>
            <w:r w:rsidRPr="00F15F0F">
              <w:rPr>
                <w:b/>
                <w:bCs/>
                <w:sz w:val="22"/>
                <w:szCs w:val="20"/>
              </w:rPr>
              <w:t>1,38</w:t>
            </w:r>
          </w:p>
        </w:tc>
        <w:tc>
          <w:tcPr>
            <w:tcW w:w="1642" w:type="dxa"/>
            <w:tcBorders>
              <w:top w:val="single" w:sz="4" w:space="0" w:color="auto"/>
              <w:left w:val="nil"/>
              <w:bottom w:val="single" w:sz="4" w:space="0" w:color="auto"/>
              <w:right w:val="single" w:sz="4" w:space="0" w:color="auto"/>
            </w:tcBorders>
            <w:shd w:val="clear" w:color="auto" w:fill="auto"/>
            <w:noWrap/>
          </w:tcPr>
          <w:p w14:paraId="72582B21" w14:textId="0DE60D53" w:rsidR="00F15F0F" w:rsidRPr="00F15F0F" w:rsidRDefault="00F15F0F" w:rsidP="000128E6">
            <w:pPr>
              <w:ind w:left="67"/>
              <w:jc w:val="center"/>
              <w:rPr>
                <w:b/>
                <w:bCs/>
                <w:sz w:val="22"/>
                <w:szCs w:val="20"/>
              </w:rPr>
            </w:pPr>
            <w:r w:rsidRPr="00F15F0F">
              <w:rPr>
                <w:b/>
                <w:bCs/>
                <w:sz w:val="22"/>
                <w:szCs w:val="20"/>
              </w:rPr>
              <w:t>1,40</w:t>
            </w:r>
          </w:p>
        </w:tc>
      </w:tr>
    </w:tbl>
    <w:p w14:paraId="7B656322" w14:textId="5D4E193B" w:rsidR="00F42B67" w:rsidRPr="00651C07" w:rsidRDefault="00651C07" w:rsidP="00F67C5E">
      <w:pPr>
        <w:jc w:val="center"/>
        <w:rPr>
          <w:rFonts w:cstheme="minorHAnsi"/>
          <w:i/>
          <w:szCs w:val="24"/>
        </w:rPr>
      </w:pPr>
      <w:r w:rsidRPr="00651C07">
        <w:rPr>
          <w:rFonts w:cstheme="minorHAnsi"/>
          <w:i/>
          <w:sz w:val="20"/>
          <w:szCs w:val="24"/>
        </w:rPr>
        <w:t>Fuente: Elaboración propia con datos del BCCR</w:t>
      </w:r>
    </w:p>
    <w:p w14:paraId="4048BB66" w14:textId="77777777" w:rsidR="00401B46" w:rsidRPr="00047BCB" w:rsidRDefault="00401B46" w:rsidP="00F67C5E"/>
    <w:p w14:paraId="2311C9CA" w14:textId="77777777" w:rsidR="00047BCB" w:rsidRDefault="00047BCB" w:rsidP="00F67C5E">
      <w:pPr>
        <w:pStyle w:val="Ttulo3"/>
        <w:numPr>
          <w:ilvl w:val="1"/>
          <w:numId w:val="26"/>
        </w:numPr>
        <w:spacing w:before="0"/>
        <w:ind w:left="709" w:hanging="284"/>
      </w:pPr>
      <w:bookmarkStart w:id="6" w:name="_Toc37177677"/>
      <w:r>
        <w:t>Inflación esperada</w:t>
      </w:r>
      <w:bookmarkEnd w:id="6"/>
    </w:p>
    <w:p w14:paraId="7C770114" w14:textId="77777777" w:rsidR="00047BCB" w:rsidRPr="00047BCB" w:rsidRDefault="00047BCB" w:rsidP="00F67C5E"/>
    <w:p w14:paraId="25D44862" w14:textId="236810C2" w:rsidR="008E55CF" w:rsidRDefault="008E55CF" w:rsidP="00F67C5E">
      <w:pPr>
        <w:ind w:left="426"/>
      </w:pPr>
      <w:r>
        <w:t>La inflación esperada: es determinada por el Banco Central de Costa Rica como parte del programa macroeconómico. Para efectos del cálculo de la UFR, se selecciona la inflación meta correspondiente al cierre del mes anterior a la fecha de cálculo de la ETTI y se fija de acuerdo con los siguientes rangos:</w:t>
      </w:r>
    </w:p>
    <w:p w14:paraId="5BE9A766" w14:textId="77777777" w:rsidR="008E55CF" w:rsidRDefault="008E55CF" w:rsidP="00F67C5E">
      <w:pPr>
        <w:ind w:left="426"/>
      </w:pPr>
    </w:p>
    <w:p w14:paraId="2DC7DF0E" w14:textId="77777777" w:rsidR="008E55CF" w:rsidRDefault="008E55CF" w:rsidP="00F67C5E">
      <w:pPr>
        <w:ind w:left="1134" w:hanging="283"/>
      </w:pPr>
      <w:r>
        <w:t>-</w:t>
      </w:r>
      <w:r>
        <w:tab/>
        <w:t>1%, si la meta de inflación es menor o igual a 1%</w:t>
      </w:r>
    </w:p>
    <w:p w14:paraId="67C4DE3F" w14:textId="77777777" w:rsidR="008E55CF" w:rsidRDefault="008E55CF" w:rsidP="00F67C5E">
      <w:pPr>
        <w:ind w:left="1134" w:hanging="283"/>
      </w:pPr>
      <w:r>
        <w:t>-</w:t>
      </w:r>
      <w:r>
        <w:tab/>
        <w:t>2% si la meta de inflación es mayor a 1% y menor que 3%</w:t>
      </w:r>
    </w:p>
    <w:p w14:paraId="068EFFA4" w14:textId="77777777" w:rsidR="008E55CF" w:rsidRDefault="008E55CF" w:rsidP="00F67C5E">
      <w:pPr>
        <w:ind w:left="1134" w:hanging="283"/>
      </w:pPr>
      <w:r>
        <w:t>-</w:t>
      </w:r>
      <w:r>
        <w:tab/>
        <w:t>3% si la meta de inflación es mayor o igual a 3% y menor que 4%</w:t>
      </w:r>
    </w:p>
    <w:p w14:paraId="7C714D08" w14:textId="36F1E782" w:rsidR="00047BCB" w:rsidRPr="00047BCB" w:rsidRDefault="008E55CF" w:rsidP="00F67C5E">
      <w:pPr>
        <w:ind w:left="1134" w:hanging="283"/>
      </w:pPr>
      <w:r>
        <w:t>-</w:t>
      </w:r>
      <w:r>
        <w:tab/>
        <w:t>4% si la meta de inflación es 4% o mayor.</w:t>
      </w:r>
    </w:p>
    <w:p w14:paraId="21A513FC" w14:textId="77777777" w:rsidR="00047BCB" w:rsidRDefault="00047BCB" w:rsidP="00F67C5E">
      <w:pPr>
        <w:ind w:left="426"/>
      </w:pPr>
    </w:p>
    <w:p w14:paraId="22225522" w14:textId="140D6CE3" w:rsidR="00162F74" w:rsidRDefault="00162F74" w:rsidP="00F67C5E">
      <w:pPr>
        <w:ind w:left="426"/>
      </w:pPr>
      <w:r>
        <w:t>De acuerdo con lo anterior, la inflación esperada para el 20</w:t>
      </w:r>
      <w:r w:rsidR="00D87648">
        <w:t>20</w:t>
      </w:r>
      <w:r>
        <w:t xml:space="preserve"> es 3%. </w:t>
      </w:r>
      <w:r w:rsidRPr="00162F74">
        <w:t xml:space="preserve">En el siguiente cuadro se presenta los datos obtenidos para cada periodo. </w:t>
      </w:r>
    </w:p>
    <w:p w14:paraId="7B622BDB" w14:textId="0FA53ABB" w:rsidR="00162F74" w:rsidRDefault="00162F74" w:rsidP="00F67C5E">
      <w:pPr>
        <w:ind w:left="426"/>
      </w:pPr>
    </w:p>
    <w:p w14:paraId="40FE1BA1" w14:textId="77777777" w:rsidR="008A0AEC" w:rsidRDefault="008A0AEC" w:rsidP="00F67C5E">
      <w:pPr>
        <w:ind w:left="426"/>
      </w:pPr>
    </w:p>
    <w:p w14:paraId="6F76B924" w14:textId="77777777" w:rsidR="008A0AEC" w:rsidRDefault="008A0AEC" w:rsidP="00F67C5E">
      <w:pPr>
        <w:ind w:left="426"/>
      </w:pPr>
    </w:p>
    <w:p w14:paraId="38A9891F" w14:textId="77777777" w:rsidR="008A0AEC" w:rsidRDefault="008A0AEC" w:rsidP="00F67C5E">
      <w:pPr>
        <w:ind w:left="426"/>
      </w:pPr>
    </w:p>
    <w:p w14:paraId="5AFE4B98" w14:textId="77777777" w:rsidR="008A0AEC" w:rsidRDefault="008A0AEC" w:rsidP="00F67C5E">
      <w:pPr>
        <w:ind w:left="426"/>
      </w:pPr>
    </w:p>
    <w:p w14:paraId="68A6DE2F" w14:textId="77777777" w:rsidR="008A0AEC" w:rsidRDefault="008A0AEC" w:rsidP="00F67C5E">
      <w:pPr>
        <w:ind w:left="426"/>
      </w:pPr>
    </w:p>
    <w:p w14:paraId="6B28856C" w14:textId="47AF35A9" w:rsidR="008E55CF" w:rsidRPr="008A0AEC" w:rsidRDefault="008E55CF" w:rsidP="000128E6">
      <w:pPr>
        <w:jc w:val="center"/>
        <w:rPr>
          <w:rFonts w:cstheme="minorHAnsi"/>
          <w:b/>
          <w:szCs w:val="24"/>
        </w:rPr>
      </w:pPr>
      <w:r w:rsidRPr="008A0AEC">
        <w:rPr>
          <w:rFonts w:cstheme="minorHAnsi"/>
          <w:b/>
          <w:szCs w:val="24"/>
        </w:rPr>
        <w:lastRenderedPageBreak/>
        <w:t xml:space="preserve">Cuadro </w:t>
      </w:r>
      <w:r w:rsidR="001509CB" w:rsidRPr="008A0AEC">
        <w:rPr>
          <w:rFonts w:cstheme="minorHAnsi"/>
          <w:b/>
          <w:szCs w:val="24"/>
        </w:rPr>
        <w:t>3</w:t>
      </w:r>
    </w:p>
    <w:p w14:paraId="0C935EB9" w14:textId="5FFEF64A" w:rsidR="008E55CF" w:rsidRPr="008A0AEC" w:rsidRDefault="008E55CF" w:rsidP="000128E6">
      <w:pPr>
        <w:jc w:val="center"/>
        <w:rPr>
          <w:rFonts w:cstheme="minorHAnsi"/>
          <w:szCs w:val="24"/>
        </w:rPr>
      </w:pPr>
      <w:r w:rsidRPr="008A0AEC">
        <w:rPr>
          <w:rFonts w:cstheme="minorHAnsi"/>
          <w:szCs w:val="24"/>
        </w:rPr>
        <w:t>Inflación esperada 2013 al 2018</w:t>
      </w:r>
    </w:p>
    <w:tbl>
      <w:tblPr>
        <w:tblW w:w="4248" w:type="dxa"/>
        <w:jc w:val="center"/>
        <w:tblLayout w:type="fixed"/>
        <w:tblCellMar>
          <w:left w:w="70" w:type="dxa"/>
          <w:right w:w="70" w:type="dxa"/>
        </w:tblCellMar>
        <w:tblLook w:val="04A0" w:firstRow="1" w:lastRow="0" w:firstColumn="1" w:lastColumn="0" w:noHBand="0" w:noVBand="1"/>
      </w:tblPr>
      <w:tblGrid>
        <w:gridCol w:w="1120"/>
        <w:gridCol w:w="1564"/>
        <w:gridCol w:w="1564"/>
      </w:tblGrid>
      <w:tr w:rsidR="00FE4312" w:rsidRPr="008E55CF" w14:paraId="06268F23" w14:textId="77777777" w:rsidTr="004D65E9">
        <w:trPr>
          <w:trHeight w:val="600"/>
          <w:jc w:val="center"/>
        </w:trPr>
        <w:tc>
          <w:tcPr>
            <w:tcW w:w="1120"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1AB6675B" w14:textId="77777777" w:rsidR="008E55CF" w:rsidRPr="008E55CF" w:rsidRDefault="008E55CF" w:rsidP="00F67C5E">
            <w:pPr>
              <w:jc w:val="center"/>
              <w:rPr>
                <w:rFonts w:ascii="Calibri" w:eastAsia="Times New Roman" w:hAnsi="Calibri" w:cs="Calibri"/>
                <w:b/>
                <w:color w:val="FFFFFF" w:themeColor="background1"/>
                <w:sz w:val="22"/>
                <w:lang w:eastAsia="es-CR"/>
              </w:rPr>
            </w:pPr>
            <w:r w:rsidRPr="008E55CF">
              <w:rPr>
                <w:rFonts w:ascii="Calibri" w:eastAsia="Times New Roman" w:hAnsi="Calibri" w:cs="Calibri"/>
                <w:b/>
                <w:color w:val="FFFFFF" w:themeColor="background1"/>
                <w:sz w:val="22"/>
                <w:lang w:eastAsia="es-CR"/>
              </w:rPr>
              <w:t>Año</w:t>
            </w:r>
          </w:p>
        </w:tc>
        <w:tc>
          <w:tcPr>
            <w:tcW w:w="1564" w:type="dxa"/>
            <w:tcBorders>
              <w:top w:val="single" w:sz="4" w:space="0" w:color="auto"/>
              <w:left w:val="nil"/>
              <w:bottom w:val="single" w:sz="4" w:space="0" w:color="auto"/>
              <w:right w:val="single" w:sz="4" w:space="0" w:color="auto"/>
            </w:tcBorders>
            <w:shd w:val="clear" w:color="auto" w:fill="365F91" w:themeFill="accent1" w:themeFillShade="BF"/>
            <w:vAlign w:val="center"/>
            <w:hideMark/>
          </w:tcPr>
          <w:p w14:paraId="62A7CC06" w14:textId="3E11295C" w:rsidR="008E55CF" w:rsidRPr="008E55CF" w:rsidRDefault="008E55CF" w:rsidP="00F67C5E">
            <w:pPr>
              <w:jc w:val="center"/>
              <w:rPr>
                <w:rFonts w:ascii="Calibri" w:eastAsia="Times New Roman" w:hAnsi="Calibri" w:cs="Calibri"/>
                <w:b/>
                <w:color w:val="FFFFFF" w:themeColor="background1"/>
                <w:sz w:val="22"/>
                <w:lang w:eastAsia="es-CR"/>
              </w:rPr>
            </w:pPr>
            <w:r w:rsidRPr="008E55CF">
              <w:rPr>
                <w:rFonts w:ascii="Calibri" w:eastAsia="Times New Roman" w:hAnsi="Calibri" w:cs="Calibri"/>
                <w:b/>
                <w:color w:val="FFFFFF" w:themeColor="background1"/>
                <w:sz w:val="22"/>
                <w:lang w:eastAsia="es-CR"/>
              </w:rPr>
              <w:t>Meta de inflación</w:t>
            </w:r>
            <w:r w:rsidR="00162F74" w:rsidRPr="00FE4312">
              <w:rPr>
                <w:rFonts w:ascii="Calibri" w:eastAsia="Times New Roman" w:hAnsi="Calibri" w:cs="Calibri"/>
                <w:b/>
                <w:color w:val="FFFFFF" w:themeColor="background1"/>
                <w:sz w:val="22"/>
                <w:lang w:eastAsia="es-CR"/>
              </w:rPr>
              <w:t xml:space="preserve"> BCCR</w:t>
            </w:r>
          </w:p>
        </w:tc>
        <w:tc>
          <w:tcPr>
            <w:tcW w:w="1564" w:type="dxa"/>
            <w:tcBorders>
              <w:top w:val="single" w:sz="4" w:space="0" w:color="auto"/>
              <w:left w:val="nil"/>
              <w:bottom w:val="single" w:sz="4" w:space="0" w:color="auto"/>
              <w:right w:val="single" w:sz="4" w:space="0" w:color="auto"/>
            </w:tcBorders>
            <w:shd w:val="clear" w:color="auto" w:fill="4F81BD" w:themeFill="accent1"/>
            <w:vAlign w:val="center"/>
            <w:hideMark/>
          </w:tcPr>
          <w:p w14:paraId="5A4AE456" w14:textId="18CC944E" w:rsidR="008E55CF" w:rsidRPr="008E55CF" w:rsidRDefault="00162F74" w:rsidP="00F67C5E">
            <w:pPr>
              <w:jc w:val="center"/>
              <w:rPr>
                <w:rFonts w:ascii="Calibri" w:eastAsia="Times New Roman" w:hAnsi="Calibri" w:cs="Calibri"/>
                <w:b/>
                <w:color w:val="FFFFFF" w:themeColor="background1"/>
                <w:sz w:val="22"/>
                <w:lang w:eastAsia="es-CR"/>
              </w:rPr>
            </w:pPr>
            <w:r w:rsidRPr="00FE4312">
              <w:rPr>
                <w:rFonts w:ascii="Calibri" w:eastAsia="Times New Roman" w:hAnsi="Calibri" w:cs="Calibri"/>
                <w:b/>
                <w:color w:val="FFFFFF" w:themeColor="background1"/>
                <w:sz w:val="22"/>
                <w:lang w:eastAsia="es-CR"/>
              </w:rPr>
              <w:t xml:space="preserve">Inflación esperada </w:t>
            </w:r>
          </w:p>
        </w:tc>
      </w:tr>
      <w:tr w:rsidR="008E55CF" w:rsidRPr="008E55CF" w14:paraId="22FA5440" w14:textId="77777777" w:rsidTr="004D65E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04DE7AB" w14:textId="77777777" w:rsidR="008E55CF" w:rsidRPr="008E55CF" w:rsidRDefault="008E55CF" w:rsidP="00F67C5E">
            <w:pPr>
              <w:jc w:val="right"/>
              <w:rPr>
                <w:rFonts w:ascii="Calibri" w:eastAsia="Times New Roman" w:hAnsi="Calibri" w:cs="Calibri"/>
                <w:color w:val="000000"/>
                <w:sz w:val="22"/>
                <w:lang w:eastAsia="es-CR"/>
              </w:rPr>
            </w:pPr>
            <w:r w:rsidRPr="008E55CF">
              <w:rPr>
                <w:rFonts w:ascii="Calibri" w:eastAsia="Times New Roman" w:hAnsi="Calibri" w:cs="Calibri"/>
                <w:color w:val="000000"/>
                <w:sz w:val="22"/>
                <w:lang w:eastAsia="es-CR"/>
              </w:rPr>
              <w:t>2013</w:t>
            </w:r>
          </w:p>
        </w:tc>
        <w:tc>
          <w:tcPr>
            <w:tcW w:w="1564" w:type="dxa"/>
            <w:tcBorders>
              <w:top w:val="nil"/>
              <w:left w:val="nil"/>
              <w:bottom w:val="single" w:sz="4" w:space="0" w:color="auto"/>
              <w:right w:val="single" w:sz="4" w:space="0" w:color="auto"/>
            </w:tcBorders>
            <w:shd w:val="clear" w:color="auto" w:fill="auto"/>
            <w:noWrap/>
            <w:vAlign w:val="bottom"/>
            <w:hideMark/>
          </w:tcPr>
          <w:p w14:paraId="17BD3635" w14:textId="183C76DE" w:rsidR="008E55CF" w:rsidRPr="008E55CF" w:rsidRDefault="008E55CF" w:rsidP="00F67C5E">
            <w:pPr>
              <w:jc w:val="center"/>
              <w:rPr>
                <w:rFonts w:ascii="Calibri" w:eastAsia="Times New Roman" w:hAnsi="Calibri" w:cs="Calibri"/>
                <w:color w:val="000000"/>
                <w:sz w:val="22"/>
                <w:lang w:eastAsia="es-CR"/>
              </w:rPr>
            </w:pPr>
            <w:r w:rsidRPr="008E55CF">
              <w:rPr>
                <w:rFonts w:ascii="Calibri" w:eastAsia="Times New Roman" w:hAnsi="Calibri" w:cs="Calibri"/>
                <w:color w:val="000000"/>
                <w:sz w:val="22"/>
                <w:lang w:eastAsia="es-CR"/>
              </w:rPr>
              <w:t>5</w:t>
            </w:r>
            <w:r w:rsidR="004A4C37">
              <w:rPr>
                <w:rFonts w:ascii="Calibri" w:eastAsia="Times New Roman" w:hAnsi="Calibri" w:cs="Calibri"/>
                <w:color w:val="000000"/>
                <w:sz w:val="22"/>
                <w:lang w:eastAsia="es-CR"/>
              </w:rPr>
              <w:t xml:space="preserve"> </w:t>
            </w:r>
            <w:r w:rsidR="008F6F34">
              <w:rPr>
                <w:rFonts w:ascii="Calibri" w:eastAsia="Times New Roman" w:hAnsi="Calibri" w:cs="Calibri"/>
                <w:color w:val="000000"/>
                <w:sz w:val="22"/>
                <w:lang w:eastAsia="es-CR"/>
              </w:rPr>
              <w:t>± 1 p.b.</w:t>
            </w:r>
          </w:p>
        </w:tc>
        <w:tc>
          <w:tcPr>
            <w:tcW w:w="1564" w:type="dxa"/>
            <w:tcBorders>
              <w:top w:val="nil"/>
              <w:left w:val="nil"/>
              <w:bottom w:val="single" w:sz="4" w:space="0" w:color="auto"/>
              <w:right w:val="single" w:sz="4" w:space="0" w:color="auto"/>
            </w:tcBorders>
            <w:shd w:val="clear" w:color="auto" w:fill="auto"/>
            <w:noWrap/>
            <w:vAlign w:val="center"/>
            <w:hideMark/>
          </w:tcPr>
          <w:p w14:paraId="50D553BD" w14:textId="77777777" w:rsidR="008E55CF" w:rsidRPr="008E55CF" w:rsidRDefault="008E55CF" w:rsidP="00F67C5E">
            <w:pPr>
              <w:jc w:val="center"/>
              <w:rPr>
                <w:rFonts w:ascii="Calibri" w:eastAsia="Times New Roman" w:hAnsi="Calibri" w:cs="Calibri"/>
                <w:color w:val="000000"/>
                <w:sz w:val="22"/>
                <w:lang w:eastAsia="es-CR"/>
              </w:rPr>
            </w:pPr>
            <w:r w:rsidRPr="008E55CF">
              <w:rPr>
                <w:rFonts w:ascii="Calibri" w:eastAsia="Times New Roman" w:hAnsi="Calibri" w:cs="Calibri"/>
                <w:color w:val="000000"/>
                <w:sz w:val="22"/>
                <w:lang w:eastAsia="es-CR"/>
              </w:rPr>
              <w:t>4</w:t>
            </w:r>
          </w:p>
        </w:tc>
      </w:tr>
      <w:tr w:rsidR="008E55CF" w:rsidRPr="008E55CF" w14:paraId="589643C2" w14:textId="77777777" w:rsidTr="004D65E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87EE5E0" w14:textId="77777777" w:rsidR="008E55CF" w:rsidRPr="008E55CF" w:rsidRDefault="008E55CF" w:rsidP="00F67C5E">
            <w:pPr>
              <w:jc w:val="right"/>
              <w:rPr>
                <w:rFonts w:ascii="Calibri" w:eastAsia="Times New Roman" w:hAnsi="Calibri" w:cs="Calibri"/>
                <w:color w:val="000000"/>
                <w:sz w:val="22"/>
                <w:lang w:eastAsia="es-CR"/>
              </w:rPr>
            </w:pPr>
            <w:r w:rsidRPr="008E55CF">
              <w:rPr>
                <w:rFonts w:ascii="Calibri" w:eastAsia="Times New Roman" w:hAnsi="Calibri" w:cs="Calibri"/>
                <w:color w:val="000000"/>
                <w:sz w:val="22"/>
                <w:lang w:eastAsia="es-CR"/>
              </w:rPr>
              <w:t>2014</w:t>
            </w:r>
          </w:p>
        </w:tc>
        <w:tc>
          <w:tcPr>
            <w:tcW w:w="1564" w:type="dxa"/>
            <w:tcBorders>
              <w:top w:val="nil"/>
              <w:left w:val="nil"/>
              <w:bottom w:val="single" w:sz="4" w:space="0" w:color="auto"/>
              <w:right w:val="single" w:sz="4" w:space="0" w:color="auto"/>
            </w:tcBorders>
            <w:shd w:val="clear" w:color="auto" w:fill="auto"/>
            <w:noWrap/>
            <w:vAlign w:val="bottom"/>
            <w:hideMark/>
          </w:tcPr>
          <w:p w14:paraId="3745BF48" w14:textId="3E567956" w:rsidR="008E55CF" w:rsidRPr="008E55CF" w:rsidRDefault="008E55CF" w:rsidP="00F67C5E">
            <w:pPr>
              <w:jc w:val="center"/>
              <w:rPr>
                <w:rFonts w:ascii="Calibri" w:eastAsia="Times New Roman" w:hAnsi="Calibri" w:cs="Calibri"/>
                <w:color w:val="000000"/>
                <w:sz w:val="22"/>
                <w:lang w:eastAsia="es-CR"/>
              </w:rPr>
            </w:pPr>
            <w:r w:rsidRPr="008E55CF">
              <w:rPr>
                <w:rFonts w:ascii="Calibri" w:eastAsia="Times New Roman" w:hAnsi="Calibri" w:cs="Calibri"/>
                <w:color w:val="000000"/>
                <w:sz w:val="22"/>
                <w:lang w:eastAsia="es-CR"/>
              </w:rPr>
              <w:t>4</w:t>
            </w:r>
            <w:r w:rsidR="004A4C37">
              <w:rPr>
                <w:rFonts w:ascii="Calibri" w:eastAsia="Times New Roman" w:hAnsi="Calibri" w:cs="Calibri"/>
                <w:color w:val="000000"/>
                <w:sz w:val="22"/>
                <w:lang w:eastAsia="es-CR"/>
              </w:rPr>
              <w:t xml:space="preserve"> ± 1 p.b.</w:t>
            </w:r>
          </w:p>
        </w:tc>
        <w:tc>
          <w:tcPr>
            <w:tcW w:w="1564" w:type="dxa"/>
            <w:tcBorders>
              <w:top w:val="nil"/>
              <w:left w:val="nil"/>
              <w:bottom w:val="single" w:sz="4" w:space="0" w:color="auto"/>
              <w:right w:val="single" w:sz="4" w:space="0" w:color="auto"/>
            </w:tcBorders>
            <w:shd w:val="clear" w:color="auto" w:fill="auto"/>
            <w:noWrap/>
            <w:vAlign w:val="center"/>
            <w:hideMark/>
          </w:tcPr>
          <w:p w14:paraId="09C7FF35" w14:textId="77777777" w:rsidR="008E55CF" w:rsidRPr="008E55CF" w:rsidRDefault="008E55CF" w:rsidP="00F67C5E">
            <w:pPr>
              <w:jc w:val="center"/>
              <w:rPr>
                <w:rFonts w:ascii="Calibri" w:eastAsia="Times New Roman" w:hAnsi="Calibri" w:cs="Calibri"/>
                <w:color w:val="000000"/>
                <w:sz w:val="22"/>
                <w:lang w:eastAsia="es-CR"/>
              </w:rPr>
            </w:pPr>
            <w:r w:rsidRPr="008E55CF">
              <w:rPr>
                <w:rFonts w:ascii="Calibri" w:eastAsia="Times New Roman" w:hAnsi="Calibri" w:cs="Calibri"/>
                <w:color w:val="000000"/>
                <w:sz w:val="22"/>
                <w:lang w:eastAsia="es-CR"/>
              </w:rPr>
              <w:t>4</w:t>
            </w:r>
          </w:p>
        </w:tc>
      </w:tr>
      <w:tr w:rsidR="008E55CF" w:rsidRPr="008E55CF" w14:paraId="677484CF" w14:textId="77777777" w:rsidTr="004D65E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7B24976" w14:textId="77777777" w:rsidR="008E55CF" w:rsidRPr="008E55CF" w:rsidRDefault="008E55CF" w:rsidP="00F67C5E">
            <w:pPr>
              <w:jc w:val="right"/>
              <w:rPr>
                <w:rFonts w:ascii="Calibri" w:eastAsia="Times New Roman" w:hAnsi="Calibri" w:cs="Calibri"/>
                <w:color w:val="000000"/>
                <w:sz w:val="22"/>
                <w:lang w:eastAsia="es-CR"/>
              </w:rPr>
            </w:pPr>
            <w:r w:rsidRPr="008E55CF">
              <w:rPr>
                <w:rFonts w:ascii="Calibri" w:eastAsia="Times New Roman" w:hAnsi="Calibri" w:cs="Calibri"/>
                <w:color w:val="000000"/>
                <w:sz w:val="22"/>
                <w:lang w:eastAsia="es-CR"/>
              </w:rPr>
              <w:t>2015</w:t>
            </w:r>
          </w:p>
        </w:tc>
        <w:tc>
          <w:tcPr>
            <w:tcW w:w="1564" w:type="dxa"/>
            <w:tcBorders>
              <w:top w:val="nil"/>
              <w:left w:val="nil"/>
              <w:bottom w:val="single" w:sz="4" w:space="0" w:color="auto"/>
              <w:right w:val="single" w:sz="4" w:space="0" w:color="auto"/>
            </w:tcBorders>
            <w:shd w:val="clear" w:color="auto" w:fill="auto"/>
            <w:noWrap/>
            <w:vAlign w:val="bottom"/>
            <w:hideMark/>
          </w:tcPr>
          <w:p w14:paraId="2DB9017F" w14:textId="5310FF90" w:rsidR="008E55CF" w:rsidRPr="008E55CF" w:rsidRDefault="008E55CF" w:rsidP="00F67C5E">
            <w:pPr>
              <w:jc w:val="center"/>
              <w:rPr>
                <w:rFonts w:ascii="Calibri" w:eastAsia="Times New Roman" w:hAnsi="Calibri" w:cs="Calibri"/>
                <w:color w:val="000000"/>
                <w:sz w:val="22"/>
                <w:lang w:eastAsia="es-CR"/>
              </w:rPr>
            </w:pPr>
            <w:r w:rsidRPr="008E55CF">
              <w:rPr>
                <w:rFonts w:ascii="Calibri" w:eastAsia="Times New Roman" w:hAnsi="Calibri" w:cs="Calibri"/>
                <w:color w:val="000000"/>
                <w:sz w:val="22"/>
                <w:lang w:eastAsia="es-CR"/>
              </w:rPr>
              <w:t>4</w:t>
            </w:r>
            <w:r w:rsidR="004A4C37">
              <w:rPr>
                <w:rFonts w:ascii="Calibri" w:eastAsia="Times New Roman" w:hAnsi="Calibri" w:cs="Calibri"/>
                <w:color w:val="000000"/>
                <w:sz w:val="22"/>
                <w:lang w:eastAsia="es-CR"/>
              </w:rPr>
              <w:t xml:space="preserve"> ± 1 p.b.</w:t>
            </w:r>
          </w:p>
        </w:tc>
        <w:tc>
          <w:tcPr>
            <w:tcW w:w="1564" w:type="dxa"/>
            <w:tcBorders>
              <w:top w:val="nil"/>
              <w:left w:val="nil"/>
              <w:bottom w:val="single" w:sz="4" w:space="0" w:color="auto"/>
              <w:right w:val="single" w:sz="4" w:space="0" w:color="auto"/>
            </w:tcBorders>
            <w:shd w:val="clear" w:color="auto" w:fill="auto"/>
            <w:noWrap/>
            <w:vAlign w:val="center"/>
            <w:hideMark/>
          </w:tcPr>
          <w:p w14:paraId="2D7B1F82" w14:textId="77777777" w:rsidR="008E55CF" w:rsidRPr="008E55CF" w:rsidRDefault="008E55CF" w:rsidP="00F67C5E">
            <w:pPr>
              <w:jc w:val="center"/>
              <w:rPr>
                <w:rFonts w:ascii="Calibri" w:eastAsia="Times New Roman" w:hAnsi="Calibri" w:cs="Calibri"/>
                <w:color w:val="000000"/>
                <w:sz w:val="22"/>
                <w:lang w:eastAsia="es-CR"/>
              </w:rPr>
            </w:pPr>
            <w:r w:rsidRPr="008E55CF">
              <w:rPr>
                <w:rFonts w:ascii="Calibri" w:eastAsia="Times New Roman" w:hAnsi="Calibri" w:cs="Calibri"/>
                <w:color w:val="000000"/>
                <w:sz w:val="22"/>
                <w:lang w:eastAsia="es-CR"/>
              </w:rPr>
              <w:t>4</w:t>
            </w:r>
          </w:p>
        </w:tc>
      </w:tr>
      <w:tr w:rsidR="008E55CF" w:rsidRPr="008E55CF" w14:paraId="7ADB15BE" w14:textId="77777777" w:rsidTr="004D65E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C17D715" w14:textId="77777777" w:rsidR="008E55CF" w:rsidRPr="008E55CF" w:rsidRDefault="008E55CF" w:rsidP="00F67C5E">
            <w:pPr>
              <w:jc w:val="right"/>
              <w:rPr>
                <w:rFonts w:ascii="Calibri" w:eastAsia="Times New Roman" w:hAnsi="Calibri" w:cs="Calibri"/>
                <w:color w:val="000000"/>
                <w:sz w:val="22"/>
                <w:lang w:eastAsia="es-CR"/>
              </w:rPr>
            </w:pPr>
            <w:r w:rsidRPr="008E55CF">
              <w:rPr>
                <w:rFonts w:ascii="Calibri" w:eastAsia="Times New Roman" w:hAnsi="Calibri" w:cs="Calibri"/>
                <w:color w:val="000000"/>
                <w:sz w:val="22"/>
                <w:lang w:eastAsia="es-CR"/>
              </w:rPr>
              <w:t>2016</w:t>
            </w:r>
          </w:p>
        </w:tc>
        <w:tc>
          <w:tcPr>
            <w:tcW w:w="1564" w:type="dxa"/>
            <w:tcBorders>
              <w:top w:val="nil"/>
              <w:left w:val="nil"/>
              <w:bottom w:val="single" w:sz="4" w:space="0" w:color="auto"/>
              <w:right w:val="single" w:sz="4" w:space="0" w:color="auto"/>
            </w:tcBorders>
            <w:shd w:val="clear" w:color="auto" w:fill="auto"/>
            <w:noWrap/>
            <w:vAlign w:val="bottom"/>
            <w:hideMark/>
          </w:tcPr>
          <w:p w14:paraId="39A33152" w14:textId="193BCE91" w:rsidR="008E55CF" w:rsidRPr="008E55CF" w:rsidRDefault="008E55CF" w:rsidP="00F67C5E">
            <w:pPr>
              <w:jc w:val="center"/>
              <w:rPr>
                <w:rFonts w:ascii="Calibri" w:eastAsia="Times New Roman" w:hAnsi="Calibri" w:cs="Calibri"/>
                <w:color w:val="000000"/>
                <w:sz w:val="22"/>
                <w:lang w:eastAsia="es-CR"/>
              </w:rPr>
            </w:pPr>
            <w:r w:rsidRPr="008E55CF">
              <w:rPr>
                <w:rFonts w:ascii="Calibri" w:eastAsia="Times New Roman" w:hAnsi="Calibri" w:cs="Calibri"/>
                <w:color w:val="000000"/>
                <w:sz w:val="22"/>
                <w:lang w:eastAsia="es-CR"/>
              </w:rPr>
              <w:t>3</w:t>
            </w:r>
            <w:r w:rsidR="004A4C37">
              <w:rPr>
                <w:rFonts w:ascii="Calibri" w:eastAsia="Times New Roman" w:hAnsi="Calibri" w:cs="Calibri"/>
                <w:color w:val="000000"/>
                <w:sz w:val="22"/>
                <w:lang w:eastAsia="es-CR"/>
              </w:rPr>
              <w:t xml:space="preserve"> ± 1 p.b.</w:t>
            </w:r>
          </w:p>
        </w:tc>
        <w:tc>
          <w:tcPr>
            <w:tcW w:w="1564" w:type="dxa"/>
            <w:tcBorders>
              <w:top w:val="nil"/>
              <w:left w:val="nil"/>
              <w:bottom w:val="single" w:sz="4" w:space="0" w:color="auto"/>
              <w:right w:val="single" w:sz="4" w:space="0" w:color="auto"/>
            </w:tcBorders>
            <w:shd w:val="clear" w:color="auto" w:fill="auto"/>
            <w:noWrap/>
            <w:vAlign w:val="center"/>
            <w:hideMark/>
          </w:tcPr>
          <w:p w14:paraId="44A7F7D2" w14:textId="77777777" w:rsidR="008E55CF" w:rsidRPr="008E55CF" w:rsidRDefault="008E55CF" w:rsidP="00F67C5E">
            <w:pPr>
              <w:jc w:val="center"/>
              <w:rPr>
                <w:rFonts w:ascii="Calibri" w:eastAsia="Times New Roman" w:hAnsi="Calibri" w:cs="Calibri"/>
                <w:color w:val="000000"/>
                <w:sz w:val="22"/>
                <w:lang w:eastAsia="es-CR"/>
              </w:rPr>
            </w:pPr>
            <w:r w:rsidRPr="008E55CF">
              <w:rPr>
                <w:rFonts w:ascii="Calibri" w:eastAsia="Times New Roman" w:hAnsi="Calibri" w:cs="Calibri"/>
                <w:color w:val="000000"/>
                <w:sz w:val="22"/>
                <w:lang w:eastAsia="es-CR"/>
              </w:rPr>
              <w:t>3</w:t>
            </w:r>
          </w:p>
        </w:tc>
      </w:tr>
      <w:tr w:rsidR="008E55CF" w:rsidRPr="008E55CF" w14:paraId="449976F7" w14:textId="77777777" w:rsidTr="0021043A">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1DE0DCA" w14:textId="77777777" w:rsidR="008E55CF" w:rsidRPr="008E55CF" w:rsidRDefault="008E55CF" w:rsidP="00F67C5E">
            <w:pPr>
              <w:jc w:val="right"/>
              <w:rPr>
                <w:rFonts w:ascii="Calibri" w:eastAsia="Times New Roman" w:hAnsi="Calibri" w:cs="Calibri"/>
                <w:color w:val="000000"/>
                <w:sz w:val="22"/>
                <w:lang w:eastAsia="es-CR"/>
              </w:rPr>
            </w:pPr>
            <w:r w:rsidRPr="008E55CF">
              <w:rPr>
                <w:rFonts w:ascii="Calibri" w:eastAsia="Times New Roman" w:hAnsi="Calibri" w:cs="Calibri"/>
                <w:color w:val="000000"/>
                <w:sz w:val="22"/>
                <w:lang w:eastAsia="es-CR"/>
              </w:rPr>
              <w:t>2017</w:t>
            </w:r>
          </w:p>
        </w:tc>
        <w:tc>
          <w:tcPr>
            <w:tcW w:w="1564" w:type="dxa"/>
            <w:tcBorders>
              <w:top w:val="nil"/>
              <w:left w:val="nil"/>
              <w:bottom w:val="single" w:sz="4" w:space="0" w:color="auto"/>
              <w:right w:val="single" w:sz="4" w:space="0" w:color="auto"/>
            </w:tcBorders>
            <w:shd w:val="clear" w:color="auto" w:fill="auto"/>
            <w:noWrap/>
            <w:vAlign w:val="bottom"/>
            <w:hideMark/>
          </w:tcPr>
          <w:p w14:paraId="7EC3CA48" w14:textId="3C9A1657" w:rsidR="008E55CF" w:rsidRPr="008E55CF" w:rsidRDefault="008E55CF" w:rsidP="00F67C5E">
            <w:pPr>
              <w:jc w:val="center"/>
              <w:rPr>
                <w:rFonts w:ascii="Calibri" w:eastAsia="Times New Roman" w:hAnsi="Calibri" w:cs="Calibri"/>
                <w:color w:val="000000"/>
                <w:sz w:val="22"/>
                <w:lang w:eastAsia="es-CR"/>
              </w:rPr>
            </w:pPr>
            <w:r w:rsidRPr="008E55CF">
              <w:rPr>
                <w:rFonts w:ascii="Calibri" w:eastAsia="Times New Roman" w:hAnsi="Calibri" w:cs="Calibri"/>
                <w:color w:val="000000"/>
                <w:sz w:val="22"/>
                <w:lang w:eastAsia="es-CR"/>
              </w:rPr>
              <w:t>3</w:t>
            </w:r>
            <w:r w:rsidR="004A4C37">
              <w:rPr>
                <w:rFonts w:ascii="Calibri" w:eastAsia="Times New Roman" w:hAnsi="Calibri" w:cs="Calibri"/>
                <w:color w:val="000000"/>
                <w:sz w:val="22"/>
                <w:lang w:eastAsia="es-CR"/>
              </w:rPr>
              <w:t xml:space="preserve"> ± 1 p.b.</w:t>
            </w:r>
          </w:p>
        </w:tc>
        <w:tc>
          <w:tcPr>
            <w:tcW w:w="1564" w:type="dxa"/>
            <w:tcBorders>
              <w:top w:val="nil"/>
              <w:left w:val="nil"/>
              <w:bottom w:val="single" w:sz="4" w:space="0" w:color="auto"/>
              <w:right w:val="single" w:sz="4" w:space="0" w:color="auto"/>
            </w:tcBorders>
            <w:shd w:val="clear" w:color="auto" w:fill="auto"/>
            <w:noWrap/>
            <w:vAlign w:val="center"/>
            <w:hideMark/>
          </w:tcPr>
          <w:p w14:paraId="38342C6F" w14:textId="77777777" w:rsidR="008E55CF" w:rsidRPr="008E55CF" w:rsidRDefault="008E55CF" w:rsidP="00F67C5E">
            <w:pPr>
              <w:jc w:val="center"/>
              <w:rPr>
                <w:rFonts w:ascii="Calibri" w:eastAsia="Times New Roman" w:hAnsi="Calibri" w:cs="Calibri"/>
                <w:color w:val="000000"/>
                <w:sz w:val="22"/>
                <w:lang w:eastAsia="es-CR"/>
              </w:rPr>
            </w:pPr>
            <w:r w:rsidRPr="008E55CF">
              <w:rPr>
                <w:rFonts w:ascii="Calibri" w:eastAsia="Times New Roman" w:hAnsi="Calibri" w:cs="Calibri"/>
                <w:color w:val="000000"/>
                <w:sz w:val="22"/>
                <w:lang w:eastAsia="es-CR"/>
              </w:rPr>
              <w:t>3</w:t>
            </w:r>
          </w:p>
        </w:tc>
      </w:tr>
      <w:tr w:rsidR="008E55CF" w:rsidRPr="008E55CF" w14:paraId="012AD916" w14:textId="77777777" w:rsidTr="0021043A">
        <w:trPr>
          <w:trHeight w:val="3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5B700" w14:textId="77777777" w:rsidR="008E55CF" w:rsidRPr="0021043A" w:rsidRDefault="008E55CF" w:rsidP="00F67C5E">
            <w:pPr>
              <w:jc w:val="right"/>
              <w:rPr>
                <w:rFonts w:ascii="Calibri" w:eastAsia="Times New Roman" w:hAnsi="Calibri" w:cs="Calibri"/>
                <w:color w:val="000000"/>
                <w:sz w:val="22"/>
                <w:lang w:eastAsia="es-CR"/>
              </w:rPr>
            </w:pPr>
            <w:r w:rsidRPr="0021043A">
              <w:rPr>
                <w:rFonts w:ascii="Calibri" w:eastAsia="Times New Roman" w:hAnsi="Calibri" w:cs="Calibri"/>
                <w:color w:val="000000"/>
                <w:sz w:val="22"/>
                <w:lang w:eastAsia="es-CR"/>
              </w:rPr>
              <w:t>2018</w:t>
            </w:r>
          </w:p>
        </w:tc>
        <w:tc>
          <w:tcPr>
            <w:tcW w:w="1564" w:type="dxa"/>
            <w:tcBorders>
              <w:top w:val="single" w:sz="4" w:space="0" w:color="auto"/>
              <w:left w:val="nil"/>
              <w:bottom w:val="single" w:sz="4" w:space="0" w:color="auto"/>
              <w:right w:val="single" w:sz="4" w:space="0" w:color="auto"/>
            </w:tcBorders>
            <w:shd w:val="clear" w:color="auto" w:fill="auto"/>
            <w:noWrap/>
            <w:vAlign w:val="bottom"/>
            <w:hideMark/>
          </w:tcPr>
          <w:p w14:paraId="14FA499A" w14:textId="0B0C3420" w:rsidR="008E55CF" w:rsidRPr="0021043A" w:rsidRDefault="008E55CF" w:rsidP="00F67C5E">
            <w:pPr>
              <w:jc w:val="center"/>
              <w:rPr>
                <w:rFonts w:ascii="Calibri" w:eastAsia="Times New Roman" w:hAnsi="Calibri" w:cs="Calibri"/>
                <w:color w:val="000000"/>
                <w:sz w:val="22"/>
                <w:lang w:eastAsia="es-CR"/>
              </w:rPr>
            </w:pPr>
            <w:r w:rsidRPr="0021043A">
              <w:rPr>
                <w:rFonts w:ascii="Calibri" w:eastAsia="Times New Roman" w:hAnsi="Calibri" w:cs="Calibri"/>
                <w:color w:val="000000"/>
                <w:sz w:val="22"/>
                <w:lang w:eastAsia="es-CR"/>
              </w:rPr>
              <w:t>3</w:t>
            </w:r>
            <w:r w:rsidR="004A4C37">
              <w:rPr>
                <w:rFonts w:ascii="Calibri" w:eastAsia="Times New Roman" w:hAnsi="Calibri" w:cs="Calibri"/>
                <w:color w:val="000000"/>
                <w:sz w:val="22"/>
                <w:lang w:eastAsia="es-CR"/>
              </w:rPr>
              <w:t xml:space="preserve"> ± 1 p.b.</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14:paraId="60E6612D" w14:textId="77777777" w:rsidR="008E55CF" w:rsidRPr="0021043A" w:rsidRDefault="008E55CF" w:rsidP="00F67C5E">
            <w:pPr>
              <w:jc w:val="center"/>
              <w:rPr>
                <w:rFonts w:ascii="Calibri" w:eastAsia="Times New Roman" w:hAnsi="Calibri" w:cs="Calibri"/>
                <w:color w:val="000000"/>
                <w:sz w:val="22"/>
                <w:lang w:eastAsia="es-CR"/>
              </w:rPr>
            </w:pPr>
            <w:r w:rsidRPr="0021043A">
              <w:rPr>
                <w:rFonts w:ascii="Calibri" w:eastAsia="Times New Roman" w:hAnsi="Calibri" w:cs="Calibri"/>
                <w:color w:val="000000"/>
                <w:sz w:val="22"/>
                <w:lang w:eastAsia="es-CR"/>
              </w:rPr>
              <w:t>3</w:t>
            </w:r>
          </w:p>
        </w:tc>
      </w:tr>
      <w:tr w:rsidR="0021043A" w:rsidRPr="008E55CF" w14:paraId="23443F61" w14:textId="77777777" w:rsidTr="0021043A">
        <w:trPr>
          <w:trHeight w:val="3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C6D38" w14:textId="13FC166C" w:rsidR="0021043A" w:rsidRPr="00D87648" w:rsidRDefault="0021043A" w:rsidP="00F67C5E">
            <w:pPr>
              <w:jc w:val="right"/>
              <w:rPr>
                <w:rFonts w:ascii="Calibri" w:eastAsia="Times New Roman" w:hAnsi="Calibri" w:cs="Calibri"/>
                <w:bCs/>
                <w:color w:val="000000"/>
                <w:sz w:val="22"/>
                <w:lang w:eastAsia="es-CR"/>
              </w:rPr>
            </w:pPr>
            <w:r w:rsidRPr="00D87648">
              <w:rPr>
                <w:rFonts w:ascii="Calibri" w:eastAsia="Times New Roman" w:hAnsi="Calibri" w:cs="Calibri"/>
                <w:bCs/>
                <w:color w:val="000000"/>
                <w:sz w:val="22"/>
                <w:lang w:eastAsia="es-CR"/>
              </w:rPr>
              <w:t>2019</w:t>
            </w:r>
          </w:p>
        </w:tc>
        <w:tc>
          <w:tcPr>
            <w:tcW w:w="1564" w:type="dxa"/>
            <w:tcBorders>
              <w:top w:val="single" w:sz="4" w:space="0" w:color="auto"/>
              <w:left w:val="nil"/>
              <w:bottom w:val="single" w:sz="4" w:space="0" w:color="auto"/>
              <w:right w:val="single" w:sz="4" w:space="0" w:color="auto"/>
            </w:tcBorders>
            <w:shd w:val="clear" w:color="auto" w:fill="auto"/>
            <w:noWrap/>
            <w:vAlign w:val="bottom"/>
          </w:tcPr>
          <w:p w14:paraId="5FE6E26C" w14:textId="060A996E" w:rsidR="0021043A" w:rsidRPr="00D87648" w:rsidRDefault="0021043A" w:rsidP="00F67C5E">
            <w:pPr>
              <w:jc w:val="center"/>
              <w:rPr>
                <w:rFonts w:ascii="Calibri" w:eastAsia="Times New Roman" w:hAnsi="Calibri" w:cs="Calibri"/>
                <w:bCs/>
                <w:color w:val="000000"/>
                <w:sz w:val="22"/>
                <w:lang w:eastAsia="es-CR"/>
              </w:rPr>
            </w:pPr>
            <w:r w:rsidRPr="00D87648">
              <w:rPr>
                <w:rFonts w:ascii="Calibri" w:eastAsia="Times New Roman" w:hAnsi="Calibri" w:cs="Calibri"/>
                <w:bCs/>
                <w:color w:val="000000"/>
                <w:sz w:val="22"/>
                <w:lang w:eastAsia="es-CR"/>
              </w:rPr>
              <w:t>3</w:t>
            </w:r>
            <w:r w:rsidR="004A4C37">
              <w:rPr>
                <w:rFonts w:ascii="Calibri" w:eastAsia="Times New Roman" w:hAnsi="Calibri" w:cs="Calibri"/>
                <w:bCs/>
                <w:color w:val="000000"/>
                <w:sz w:val="22"/>
                <w:lang w:eastAsia="es-CR"/>
              </w:rPr>
              <w:t xml:space="preserve"> </w:t>
            </w:r>
            <w:r w:rsidR="004A4C37">
              <w:rPr>
                <w:rFonts w:ascii="Calibri" w:eastAsia="Times New Roman" w:hAnsi="Calibri" w:cs="Calibri"/>
                <w:color w:val="000000"/>
                <w:sz w:val="22"/>
                <w:lang w:eastAsia="es-CR"/>
              </w:rPr>
              <w:t>± 1 p.b.</w:t>
            </w:r>
          </w:p>
        </w:tc>
        <w:tc>
          <w:tcPr>
            <w:tcW w:w="1564" w:type="dxa"/>
            <w:tcBorders>
              <w:top w:val="single" w:sz="4" w:space="0" w:color="auto"/>
              <w:left w:val="nil"/>
              <w:bottom w:val="single" w:sz="4" w:space="0" w:color="auto"/>
              <w:right w:val="single" w:sz="4" w:space="0" w:color="auto"/>
            </w:tcBorders>
            <w:shd w:val="clear" w:color="auto" w:fill="auto"/>
            <w:noWrap/>
            <w:vAlign w:val="center"/>
          </w:tcPr>
          <w:p w14:paraId="37892459" w14:textId="75C7D300" w:rsidR="0021043A" w:rsidRPr="00D87648" w:rsidRDefault="0021043A" w:rsidP="00F67C5E">
            <w:pPr>
              <w:jc w:val="center"/>
              <w:rPr>
                <w:rFonts w:ascii="Calibri" w:eastAsia="Times New Roman" w:hAnsi="Calibri" w:cs="Calibri"/>
                <w:bCs/>
                <w:color w:val="000000"/>
                <w:sz w:val="22"/>
                <w:lang w:eastAsia="es-CR"/>
              </w:rPr>
            </w:pPr>
            <w:r w:rsidRPr="00D87648">
              <w:rPr>
                <w:rFonts w:ascii="Calibri" w:eastAsia="Times New Roman" w:hAnsi="Calibri" w:cs="Calibri"/>
                <w:bCs/>
                <w:color w:val="000000"/>
                <w:sz w:val="22"/>
                <w:lang w:eastAsia="es-CR"/>
              </w:rPr>
              <w:t>3</w:t>
            </w:r>
          </w:p>
        </w:tc>
      </w:tr>
      <w:tr w:rsidR="00D87648" w:rsidRPr="008E55CF" w14:paraId="5A87E16F" w14:textId="77777777" w:rsidTr="0021043A">
        <w:trPr>
          <w:trHeight w:val="3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82AF0" w14:textId="2F17BDAE" w:rsidR="00D87648" w:rsidRDefault="00D87648" w:rsidP="00D87648">
            <w:pPr>
              <w:jc w:val="right"/>
              <w:rPr>
                <w:rFonts w:ascii="Calibri" w:eastAsia="Times New Roman" w:hAnsi="Calibri" w:cs="Calibri"/>
                <w:b/>
                <w:color w:val="000000"/>
                <w:sz w:val="22"/>
                <w:lang w:eastAsia="es-CR"/>
              </w:rPr>
            </w:pPr>
            <w:r>
              <w:rPr>
                <w:rFonts w:ascii="Calibri" w:eastAsia="Times New Roman" w:hAnsi="Calibri" w:cs="Calibri"/>
                <w:b/>
                <w:color w:val="000000"/>
                <w:sz w:val="22"/>
                <w:lang w:eastAsia="es-CR"/>
              </w:rPr>
              <w:t>2020</w:t>
            </w:r>
          </w:p>
        </w:tc>
        <w:tc>
          <w:tcPr>
            <w:tcW w:w="1564" w:type="dxa"/>
            <w:tcBorders>
              <w:top w:val="single" w:sz="4" w:space="0" w:color="auto"/>
              <w:left w:val="nil"/>
              <w:bottom w:val="single" w:sz="4" w:space="0" w:color="auto"/>
              <w:right w:val="single" w:sz="4" w:space="0" w:color="auto"/>
            </w:tcBorders>
            <w:shd w:val="clear" w:color="auto" w:fill="auto"/>
            <w:noWrap/>
            <w:vAlign w:val="bottom"/>
          </w:tcPr>
          <w:p w14:paraId="6B841BF1" w14:textId="00D95B4C" w:rsidR="00D87648" w:rsidRPr="004A4C37" w:rsidRDefault="00D87648" w:rsidP="00D87648">
            <w:pPr>
              <w:jc w:val="center"/>
              <w:rPr>
                <w:rFonts w:ascii="Calibri" w:eastAsia="Times New Roman" w:hAnsi="Calibri" w:cs="Calibri"/>
                <w:b/>
                <w:color w:val="000000"/>
                <w:sz w:val="22"/>
                <w:lang w:eastAsia="es-CR"/>
              </w:rPr>
            </w:pPr>
            <w:r w:rsidRPr="004A4C37">
              <w:rPr>
                <w:rFonts w:ascii="Calibri" w:eastAsia="Times New Roman" w:hAnsi="Calibri" w:cs="Calibri"/>
                <w:b/>
                <w:color w:val="000000"/>
                <w:sz w:val="22"/>
                <w:lang w:eastAsia="es-CR"/>
              </w:rPr>
              <w:t>3</w:t>
            </w:r>
            <w:r w:rsidR="004A4C37" w:rsidRPr="004A4C37">
              <w:rPr>
                <w:rFonts w:ascii="Calibri" w:eastAsia="Times New Roman" w:hAnsi="Calibri" w:cs="Calibri"/>
                <w:b/>
                <w:color w:val="000000"/>
                <w:sz w:val="22"/>
                <w:lang w:eastAsia="es-CR"/>
              </w:rPr>
              <w:t xml:space="preserve"> ± 1 p.b.</w:t>
            </w:r>
          </w:p>
        </w:tc>
        <w:tc>
          <w:tcPr>
            <w:tcW w:w="1564" w:type="dxa"/>
            <w:tcBorders>
              <w:top w:val="single" w:sz="4" w:space="0" w:color="auto"/>
              <w:left w:val="nil"/>
              <w:bottom w:val="single" w:sz="4" w:space="0" w:color="auto"/>
              <w:right w:val="single" w:sz="4" w:space="0" w:color="auto"/>
            </w:tcBorders>
            <w:shd w:val="clear" w:color="auto" w:fill="auto"/>
            <w:noWrap/>
            <w:vAlign w:val="center"/>
          </w:tcPr>
          <w:p w14:paraId="4630D5D3" w14:textId="55ACB53C" w:rsidR="00D87648" w:rsidRDefault="00D87648" w:rsidP="00D87648">
            <w:pPr>
              <w:jc w:val="center"/>
              <w:rPr>
                <w:rFonts w:ascii="Calibri" w:eastAsia="Times New Roman" w:hAnsi="Calibri" w:cs="Calibri"/>
                <w:b/>
                <w:color w:val="000000"/>
                <w:sz w:val="22"/>
                <w:lang w:eastAsia="es-CR"/>
              </w:rPr>
            </w:pPr>
            <w:r>
              <w:rPr>
                <w:rFonts w:ascii="Calibri" w:eastAsia="Times New Roman" w:hAnsi="Calibri" w:cs="Calibri"/>
                <w:b/>
                <w:color w:val="000000"/>
                <w:sz w:val="22"/>
                <w:lang w:eastAsia="es-CR"/>
              </w:rPr>
              <w:t>3</w:t>
            </w:r>
          </w:p>
        </w:tc>
      </w:tr>
    </w:tbl>
    <w:p w14:paraId="704F3A6E" w14:textId="6E95A8BC" w:rsidR="00162F74" w:rsidRPr="00651C07" w:rsidRDefault="004A4C37" w:rsidP="004A4C37">
      <w:pPr>
        <w:ind w:left="1416" w:firstLine="708"/>
        <w:rPr>
          <w:rFonts w:cstheme="minorHAnsi"/>
          <w:i/>
          <w:szCs w:val="24"/>
        </w:rPr>
      </w:pPr>
      <w:r>
        <w:rPr>
          <w:rFonts w:cstheme="minorHAnsi"/>
          <w:i/>
          <w:sz w:val="20"/>
          <w:szCs w:val="24"/>
        </w:rPr>
        <w:t xml:space="preserve">   </w:t>
      </w:r>
      <w:r w:rsidR="00162F74" w:rsidRPr="00651C07">
        <w:rPr>
          <w:rFonts w:cstheme="minorHAnsi"/>
          <w:i/>
          <w:sz w:val="20"/>
          <w:szCs w:val="24"/>
        </w:rPr>
        <w:t>Fuente: Elaboración propia con datos del BCCR</w:t>
      </w:r>
    </w:p>
    <w:p w14:paraId="54FC6990" w14:textId="2E79EBA2" w:rsidR="00047BCB" w:rsidRPr="001509CB" w:rsidRDefault="00047BCB" w:rsidP="00F67C5E">
      <w:pPr>
        <w:ind w:left="426"/>
      </w:pPr>
    </w:p>
    <w:p w14:paraId="726A89EF" w14:textId="0F03BEA5" w:rsidR="00047BCB" w:rsidRDefault="00F43004" w:rsidP="00B5401E">
      <w:pPr>
        <w:ind w:left="284"/>
      </w:pPr>
      <w:r w:rsidRPr="001509CB">
        <w:t xml:space="preserve">Una vez que se </w:t>
      </w:r>
      <w:r w:rsidR="00A73971" w:rsidRPr="001509CB">
        <w:t xml:space="preserve">obtiene </w:t>
      </w:r>
      <w:r w:rsidRPr="001509CB">
        <w:t>los tipos de interés reales esperados más la inflación esperada</w:t>
      </w:r>
      <w:r w:rsidR="001509CB" w:rsidRPr="001509CB">
        <w:t xml:space="preserve"> se suman los valores para obtener el valor de la UFR. Como resultado se obtiene que la UFR para el 20</w:t>
      </w:r>
      <w:r w:rsidR="0037725D">
        <w:t xml:space="preserve">20 </w:t>
      </w:r>
      <w:r w:rsidR="001509CB" w:rsidRPr="001509CB">
        <w:t xml:space="preserve">es </w:t>
      </w:r>
      <w:r w:rsidR="00792699" w:rsidRPr="00974448">
        <w:rPr>
          <w:b/>
        </w:rPr>
        <w:t>4</w:t>
      </w:r>
      <w:r w:rsidR="00974448">
        <w:rPr>
          <w:b/>
        </w:rPr>
        <w:t>,</w:t>
      </w:r>
      <w:r w:rsidR="008B7B17">
        <w:rPr>
          <w:b/>
        </w:rPr>
        <w:t>4</w:t>
      </w:r>
      <w:r w:rsidR="00792699" w:rsidRPr="00974448">
        <w:rPr>
          <w:b/>
        </w:rPr>
        <w:t>0%,</w:t>
      </w:r>
      <w:r w:rsidR="00792699" w:rsidRPr="00792699">
        <w:t xml:space="preserve"> tal como se muestra en el siguiente cuadro.</w:t>
      </w:r>
    </w:p>
    <w:p w14:paraId="72E11CBF" w14:textId="77777777" w:rsidR="00792699" w:rsidRDefault="00792699" w:rsidP="00B5401E">
      <w:pPr>
        <w:ind w:left="284"/>
      </w:pPr>
    </w:p>
    <w:p w14:paraId="6FC88BB4" w14:textId="4035B1A2" w:rsidR="00792699" w:rsidRPr="008A0AEC" w:rsidRDefault="00792699" w:rsidP="000128E6">
      <w:pPr>
        <w:jc w:val="center"/>
        <w:rPr>
          <w:rFonts w:cstheme="minorHAnsi"/>
          <w:b/>
          <w:szCs w:val="24"/>
        </w:rPr>
      </w:pPr>
      <w:r w:rsidRPr="008A0AEC">
        <w:rPr>
          <w:rFonts w:cstheme="minorHAnsi"/>
          <w:b/>
          <w:szCs w:val="24"/>
        </w:rPr>
        <w:t xml:space="preserve">Cuadro </w:t>
      </w:r>
      <w:r>
        <w:rPr>
          <w:rFonts w:cstheme="minorHAnsi"/>
          <w:b/>
          <w:szCs w:val="24"/>
        </w:rPr>
        <w:t>4</w:t>
      </w:r>
    </w:p>
    <w:p w14:paraId="7BA47E82" w14:textId="376B7F66" w:rsidR="00792699" w:rsidRPr="006E3825" w:rsidRDefault="0037725D" w:rsidP="000128E6">
      <w:pPr>
        <w:jc w:val="center"/>
        <w:rPr>
          <w:rFonts w:cstheme="minorHAnsi"/>
          <w:szCs w:val="24"/>
        </w:rPr>
      </w:pPr>
      <w:r>
        <w:rPr>
          <w:rFonts w:cstheme="minorHAnsi"/>
          <w:szCs w:val="24"/>
        </w:rPr>
        <w:t xml:space="preserve">Histórico </w:t>
      </w:r>
      <w:r w:rsidR="00974448" w:rsidRPr="006E3825">
        <w:rPr>
          <w:rFonts w:cstheme="minorHAnsi"/>
          <w:szCs w:val="24"/>
        </w:rPr>
        <w:t>Ultimate Forward Rate (UFR)</w:t>
      </w:r>
    </w:p>
    <w:tbl>
      <w:tblPr>
        <w:tblW w:w="7508" w:type="dxa"/>
        <w:jc w:val="center"/>
        <w:tblLayout w:type="fixed"/>
        <w:tblCellMar>
          <w:left w:w="70" w:type="dxa"/>
          <w:right w:w="70" w:type="dxa"/>
        </w:tblCellMar>
        <w:tblLook w:val="04A0" w:firstRow="1" w:lastRow="0" w:firstColumn="1" w:lastColumn="0" w:noHBand="0" w:noVBand="1"/>
      </w:tblPr>
      <w:tblGrid>
        <w:gridCol w:w="1120"/>
        <w:gridCol w:w="1564"/>
        <w:gridCol w:w="1564"/>
        <w:gridCol w:w="1564"/>
        <w:gridCol w:w="1696"/>
      </w:tblGrid>
      <w:tr w:rsidR="00245571" w:rsidRPr="008E55CF" w14:paraId="02E2482B" w14:textId="07C4A249" w:rsidTr="00636B6C">
        <w:trPr>
          <w:trHeight w:val="600"/>
          <w:jc w:val="center"/>
        </w:trPr>
        <w:tc>
          <w:tcPr>
            <w:tcW w:w="1120"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5027E165" w14:textId="77777777" w:rsidR="00245571" w:rsidRPr="00792699" w:rsidRDefault="00245571" w:rsidP="004503AC">
            <w:pPr>
              <w:jc w:val="center"/>
              <w:rPr>
                <w:rFonts w:ascii="Calibri" w:eastAsia="Times New Roman" w:hAnsi="Calibri" w:cs="Calibri"/>
                <w:b/>
                <w:color w:val="FFFFFF" w:themeColor="background1"/>
                <w:sz w:val="22"/>
                <w:lang w:eastAsia="es-CR"/>
              </w:rPr>
            </w:pPr>
            <w:r w:rsidRPr="00792699">
              <w:rPr>
                <w:rFonts w:ascii="Calibri" w:eastAsia="Times New Roman" w:hAnsi="Calibri" w:cs="Calibri"/>
                <w:b/>
                <w:color w:val="FFFFFF" w:themeColor="background1"/>
                <w:sz w:val="22"/>
                <w:lang w:eastAsia="es-CR"/>
              </w:rPr>
              <w:t>Año</w:t>
            </w:r>
          </w:p>
        </w:tc>
        <w:tc>
          <w:tcPr>
            <w:tcW w:w="1564" w:type="dxa"/>
            <w:tcBorders>
              <w:top w:val="single" w:sz="4" w:space="0" w:color="auto"/>
              <w:left w:val="nil"/>
              <w:bottom w:val="single" w:sz="4" w:space="0" w:color="auto"/>
              <w:right w:val="single" w:sz="4" w:space="0" w:color="auto"/>
            </w:tcBorders>
            <w:shd w:val="clear" w:color="auto" w:fill="4F81BD" w:themeFill="accent1"/>
            <w:vAlign w:val="center"/>
            <w:hideMark/>
          </w:tcPr>
          <w:p w14:paraId="521CC24B" w14:textId="77777777" w:rsidR="00245571" w:rsidRDefault="00245571" w:rsidP="004503AC">
            <w:pPr>
              <w:jc w:val="center"/>
              <w:rPr>
                <w:rFonts w:ascii="Calibri" w:eastAsia="Times New Roman" w:hAnsi="Calibri" w:cs="Calibri"/>
                <w:b/>
                <w:color w:val="FFFFFF" w:themeColor="background1"/>
                <w:sz w:val="22"/>
                <w:lang w:eastAsia="es-CR"/>
              </w:rPr>
            </w:pPr>
            <w:r w:rsidRPr="00792699">
              <w:rPr>
                <w:rFonts w:ascii="Calibri" w:eastAsia="Times New Roman" w:hAnsi="Calibri" w:cs="Calibri"/>
                <w:b/>
                <w:color w:val="FFFFFF" w:themeColor="background1"/>
                <w:sz w:val="22"/>
                <w:lang w:eastAsia="es-CR"/>
              </w:rPr>
              <w:t>Tasa real esperada</w:t>
            </w:r>
          </w:p>
          <w:p w14:paraId="24FECA51" w14:textId="7AB20C03" w:rsidR="00E7070E" w:rsidRPr="00792699" w:rsidRDefault="00E7070E" w:rsidP="004503AC">
            <w:pPr>
              <w:jc w:val="center"/>
              <w:rPr>
                <w:rFonts w:ascii="Calibri" w:eastAsia="Times New Roman" w:hAnsi="Calibri" w:cs="Calibri"/>
                <w:b/>
                <w:color w:val="FFFFFF" w:themeColor="background1"/>
                <w:sz w:val="22"/>
                <w:lang w:eastAsia="es-CR"/>
              </w:rPr>
            </w:pPr>
            <w:r>
              <w:rPr>
                <w:rFonts w:ascii="Calibri" w:eastAsia="Times New Roman" w:hAnsi="Calibri" w:cs="Calibri"/>
                <w:b/>
                <w:color w:val="FFFFFF" w:themeColor="background1"/>
                <w:sz w:val="22"/>
                <w:lang w:eastAsia="es-CR"/>
              </w:rPr>
              <w:t>(1)</w:t>
            </w:r>
          </w:p>
        </w:tc>
        <w:tc>
          <w:tcPr>
            <w:tcW w:w="1564" w:type="dxa"/>
            <w:tcBorders>
              <w:top w:val="single" w:sz="4" w:space="0" w:color="auto"/>
              <w:left w:val="nil"/>
              <w:bottom w:val="single" w:sz="4" w:space="0" w:color="auto"/>
              <w:right w:val="single" w:sz="4" w:space="0" w:color="auto"/>
            </w:tcBorders>
            <w:shd w:val="clear" w:color="auto" w:fill="4F81BD" w:themeFill="accent1"/>
            <w:vAlign w:val="center"/>
            <w:hideMark/>
          </w:tcPr>
          <w:p w14:paraId="1B83BD3D" w14:textId="77777777" w:rsidR="00245571" w:rsidRDefault="00245571" w:rsidP="004503AC">
            <w:pPr>
              <w:jc w:val="center"/>
              <w:rPr>
                <w:rFonts w:ascii="Calibri" w:eastAsia="Times New Roman" w:hAnsi="Calibri" w:cs="Calibri"/>
                <w:b/>
                <w:color w:val="FFFFFF" w:themeColor="background1"/>
                <w:sz w:val="22"/>
                <w:lang w:eastAsia="es-CR"/>
              </w:rPr>
            </w:pPr>
            <w:r w:rsidRPr="00792699">
              <w:rPr>
                <w:rFonts w:ascii="Calibri" w:eastAsia="Times New Roman" w:hAnsi="Calibri" w:cs="Calibri"/>
                <w:b/>
                <w:color w:val="FFFFFF" w:themeColor="background1"/>
                <w:sz w:val="22"/>
                <w:lang w:eastAsia="es-CR"/>
              </w:rPr>
              <w:t xml:space="preserve">Inflación esperada </w:t>
            </w:r>
          </w:p>
          <w:p w14:paraId="5DA44B1C" w14:textId="100DBDDB" w:rsidR="00E7070E" w:rsidRPr="00792699" w:rsidRDefault="00E7070E" w:rsidP="004503AC">
            <w:pPr>
              <w:jc w:val="center"/>
              <w:rPr>
                <w:rFonts w:ascii="Calibri" w:eastAsia="Times New Roman" w:hAnsi="Calibri" w:cs="Calibri"/>
                <w:b/>
                <w:color w:val="FFFFFF" w:themeColor="background1"/>
                <w:sz w:val="22"/>
                <w:lang w:eastAsia="es-CR"/>
              </w:rPr>
            </w:pPr>
            <w:r>
              <w:rPr>
                <w:rFonts w:ascii="Calibri" w:eastAsia="Times New Roman" w:hAnsi="Calibri" w:cs="Calibri"/>
                <w:b/>
                <w:color w:val="FFFFFF" w:themeColor="background1"/>
                <w:sz w:val="22"/>
                <w:lang w:eastAsia="es-CR"/>
              </w:rPr>
              <w:t>(2)</w:t>
            </w:r>
          </w:p>
        </w:tc>
        <w:tc>
          <w:tcPr>
            <w:tcW w:w="1564" w:type="dxa"/>
            <w:tcBorders>
              <w:top w:val="single" w:sz="4" w:space="0" w:color="auto"/>
              <w:left w:val="nil"/>
              <w:bottom w:val="single" w:sz="4" w:space="0" w:color="auto"/>
              <w:right w:val="single" w:sz="4" w:space="0" w:color="auto"/>
            </w:tcBorders>
            <w:shd w:val="clear" w:color="auto" w:fill="4F81BD" w:themeFill="accent1"/>
          </w:tcPr>
          <w:p w14:paraId="7A3932FA" w14:textId="77777777" w:rsidR="00245571" w:rsidRDefault="00245571" w:rsidP="004503AC">
            <w:pPr>
              <w:jc w:val="center"/>
              <w:rPr>
                <w:rFonts w:ascii="Calibri" w:eastAsia="Times New Roman" w:hAnsi="Calibri" w:cs="Calibri"/>
                <w:b/>
                <w:color w:val="FFFFFF" w:themeColor="background1"/>
                <w:sz w:val="22"/>
                <w:lang w:eastAsia="es-CR"/>
              </w:rPr>
            </w:pPr>
            <w:r>
              <w:rPr>
                <w:rFonts w:ascii="Calibri" w:eastAsia="Times New Roman" w:hAnsi="Calibri" w:cs="Calibri"/>
                <w:b/>
                <w:color w:val="FFFFFF" w:themeColor="background1"/>
                <w:sz w:val="22"/>
                <w:lang w:eastAsia="es-CR"/>
              </w:rPr>
              <w:t>UFR</w:t>
            </w:r>
          </w:p>
          <w:p w14:paraId="68696180" w14:textId="7794A3B9" w:rsidR="00E7070E" w:rsidRPr="00792699" w:rsidRDefault="00E7070E" w:rsidP="004503AC">
            <w:pPr>
              <w:jc w:val="center"/>
              <w:rPr>
                <w:rFonts w:ascii="Calibri" w:eastAsia="Times New Roman" w:hAnsi="Calibri" w:cs="Calibri"/>
                <w:b/>
                <w:color w:val="FFFFFF" w:themeColor="background1"/>
                <w:sz w:val="22"/>
                <w:lang w:eastAsia="es-CR"/>
              </w:rPr>
            </w:pPr>
            <w:r>
              <w:rPr>
                <w:rFonts w:ascii="Calibri" w:eastAsia="Times New Roman" w:hAnsi="Calibri" w:cs="Calibri"/>
                <w:b/>
                <w:color w:val="FFFFFF" w:themeColor="background1"/>
                <w:sz w:val="22"/>
                <w:lang w:eastAsia="es-CR"/>
              </w:rPr>
              <w:t>(1+2)</w:t>
            </w:r>
          </w:p>
        </w:tc>
        <w:tc>
          <w:tcPr>
            <w:tcW w:w="1696" w:type="dxa"/>
            <w:tcBorders>
              <w:top w:val="single" w:sz="4" w:space="0" w:color="auto"/>
              <w:left w:val="nil"/>
              <w:bottom w:val="single" w:sz="4" w:space="0" w:color="auto"/>
              <w:right w:val="single" w:sz="4" w:space="0" w:color="auto"/>
            </w:tcBorders>
            <w:shd w:val="clear" w:color="auto" w:fill="365F91" w:themeFill="accent1" w:themeFillShade="BF"/>
          </w:tcPr>
          <w:p w14:paraId="1D928B7C" w14:textId="6CC14D48" w:rsidR="00E7070E" w:rsidRDefault="00245571" w:rsidP="00636B6C">
            <w:pPr>
              <w:jc w:val="center"/>
              <w:rPr>
                <w:rFonts w:ascii="Calibri" w:eastAsia="Times New Roman" w:hAnsi="Calibri" w:cs="Calibri"/>
                <w:b/>
                <w:color w:val="FFFFFF" w:themeColor="background1"/>
                <w:sz w:val="22"/>
                <w:lang w:eastAsia="es-CR"/>
              </w:rPr>
            </w:pPr>
            <w:r>
              <w:rPr>
                <w:rFonts w:ascii="Calibri" w:eastAsia="Times New Roman" w:hAnsi="Calibri" w:cs="Calibri"/>
                <w:b/>
                <w:color w:val="FFFFFF" w:themeColor="background1"/>
                <w:sz w:val="22"/>
                <w:lang w:eastAsia="es-CR"/>
              </w:rPr>
              <w:t xml:space="preserve">UFR </w:t>
            </w:r>
            <w:r w:rsidR="00636B6C">
              <w:rPr>
                <w:rFonts w:ascii="Calibri" w:eastAsia="Times New Roman" w:hAnsi="Calibri" w:cs="Calibri"/>
                <w:b/>
                <w:color w:val="FFFFFF" w:themeColor="background1"/>
                <w:sz w:val="22"/>
                <w:lang w:eastAsia="es-CR"/>
              </w:rPr>
              <w:t>ajustado</w:t>
            </w:r>
            <w:r w:rsidR="00E7070E">
              <w:rPr>
                <w:rFonts w:ascii="Calibri" w:eastAsia="Times New Roman" w:hAnsi="Calibri" w:cs="Calibri"/>
                <w:b/>
                <w:color w:val="FFFFFF" w:themeColor="background1"/>
                <w:sz w:val="22"/>
                <w:lang w:eastAsia="es-CR"/>
              </w:rPr>
              <w:t xml:space="preserve"> </w:t>
            </w:r>
            <w:r w:rsidR="00636B6C">
              <w:rPr>
                <w:rFonts w:ascii="Calibri" w:eastAsia="Times New Roman" w:hAnsi="Calibri" w:cs="Calibri"/>
                <w:b/>
                <w:color w:val="FFFFFF" w:themeColor="background1"/>
                <w:sz w:val="22"/>
                <w:lang w:eastAsia="es-CR"/>
              </w:rPr>
              <w:t>variación</w:t>
            </w:r>
            <w:r w:rsidR="00E7070E">
              <w:rPr>
                <w:rFonts w:ascii="Calibri" w:eastAsia="Times New Roman" w:hAnsi="Calibri" w:cs="Calibri"/>
                <w:b/>
                <w:color w:val="FFFFFF" w:themeColor="background1"/>
                <w:sz w:val="22"/>
                <w:lang w:eastAsia="es-CR"/>
              </w:rPr>
              <w:t xml:space="preserve"> máxim</w:t>
            </w:r>
            <w:r w:rsidR="00636B6C">
              <w:rPr>
                <w:rFonts w:ascii="Calibri" w:eastAsia="Times New Roman" w:hAnsi="Calibri" w:cs="Calibri"/>
                <w:b/>
                <w:color w:val="FFFFFF" w:themeColor="background1"/>
                <w:sz w:val="22"/>
                <w:lang w:eastAsia="es-CR"/>
              </w:rPr>
              <w:t>a</w:t>
            </w:r>
            <w:r w:rsidR="00E7070E">
              <w:rPr>
                <w:rFonts w:ascii="Calibri" w:eastAsia="Times New Roman" w:hAnsi="Calibri" w:cs="Calibri"/>
                <w:b/>
                <w:color w:val="FFFFFF" w:themeColor="background1"/>
                <w:sz w:val="22"/>
                <w:lang w:eastAsia="es-CR"/>
              </w:rPr>
              <w:t xml:space="preserve"> ±15 p</w:t>
            </w:r>
            <w:r w:rsidR="00650DD8">
              <w:rPr>
                <w:rFonts w:ascii="Calibri" w:eastAsia="Times New Roman" w:hAnsi="Calibri" w:cs="Calibri"/>
                <w:b/>
                <w:color w:val="FFFFFF" w:themeColor="background1"/>
                <w:sz w:val="22"/>
                <w:lang w:eastAsia="es-CR"/>
              </w:rPr>
              <w:t>.</w:t>
            </w:r>
            <w:r w:rsidR="00E7070E">
              <w:rPr>
                <w:rFonts w:ascii="Calibri" w:eastAsia="Times New Roman" w:hAnsi="Calibri" w:cs="Calibri"/>
                <w:b/>
                <w:color w:val="FFFFFF" w:themeColor="background1"/>
                <w:sz w:val="22"/>
                <w:lang w:eastAsia="es-CR"/>
              </w:rPr>
              <w:t>b</w:t>
            </w:r>
            <w:r w:rsidR="00650DD8">
              <w:rPr>
                <w:rFonts w:ascii="Calibri" w:eastAsia="Times New Roman" w:hAnsi="Calibri" w:cs="Calibri"/>
                <w:b/>
                <w:color w:val="FFFFFF" w:themeColor="background1"/>
                <w:sz w:val="22"/>
                <w:lang w:eastAsia="es-CR"/>
              </w:rPr>
              <w:t>.</w:t>
            </w:r>
          </w:p>
        </w:tc>
      </w:tr>
      <w:tr w:rsidR="00E7070E" w:rsidRPr="008E55CF" w14:paraId="38B4416C" w14:textId="19FDDA08" w:rsidTr="0037725D">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F748AD" w14:textId="69E50FDD" w:rsidR="00E7070E" w:rsidRPr="00792699" w:rsidRDefault="00E7070E" w:rsidP="00E7070E">
            <w:pPr>
              <w:jc w:val="right"/>
              <w:rPr>
                <w:rFonts w:ascii="Calibri" w:eastAsia="Times New Roman" w:hAnsi="Calibri" w:cs="Calibri"/>
                <w:color w:val="000000"/>
                <w:sz w:val="22"/>
                <w:lang w:eastAsia="es-CR"/>
              </w:rPr>
            </w:pPr>
            <w:r w:rsidRPr="00792699">
              <w:rPr>
                <w:rFonts w:ascii="Calibri" w:eastAsia="Times New Roman" w:hAnsi="Calibri" w:cs="Calibri"/>
                <w:color w:val="000000"/>
                <w:sz w:val="22"/>
                <w:lang w:eastAsia="es-CR"/>
              </w:rPr>
              <w:t>2018</w:t>
            </w:r>
          </w:p>
        </w:tc>
        <w:tc>
          <w:tcPr>
            <w:tcW w:w="1564" w:type="dxa"/>
            <w:tcBorders>
              <w:top w:val="nil"/>
              <w:left w:val="nil"/>
              <w:bottom w:val="single" w:sz="4" w:space="0" w:color="auto"/>
              <w:right w:val="single" w:sz="4" w:space="0" w:color="auto"/>
            </w:tcBorders>
            <w:shd w:val="clear" w:color="auto" w:fill="auto"/>
            <w:noWrap/>
            <w:hideMark/>
          </w:tcPr>
          <w:p w14:paraId="52ABF163" w14:textId="7BA7B2B0" w:rsidR="00E7070E" w:rsidRPr="00792699" w:rsidRDefault="00E7070E" w:rsidP="00E7070E">
            <w:pPr>
              <w:jc w:val="center"/>
              <w:rPr>
                <w:rFonts w:ascii="Calibri" w:eastAsia="Times New Roman" w:hAnsi="Calibri" w:cs="Calibri"/>
                <w:color w:val="000000"/>
                <w:sz w:val="22"/>
                <w:lang w:eastAsia="es-CR"/>
              </w:rPr>
            </w:pPr>
            <w:r w:rsidRPr="00792699">
              <w:rPr>
                <w:sz w:val="22"/>
              </w:rPr>
              <w:t>1,35</w:t>
            </w:r>
          </w:p>
        </w:tc>
        <w:tc>
          <w:tcPr>
            <w:tcW w:w="1564" w:type="dxa"/>
            <w:tcBorders>
              <w:top w:val="nil"/>
              <w:left w:val="nil"/>
              <w:bottom w:val="single" w:sz="4" w:space="0" w:color="auto"/>
              <w:right w:val="single" w:sz="4" w:space="0" w:color="auto"/>
            </w:tcBorders>
            <w:shd w:val="clear" w:color="auto" w:fill="auto"/>
            <w:noWrap/>
            <w:vAlign w:val="center"/>
            <w:hideMark/>
          </w:tcPr>
          <w:p w14:paraId="295839F5" w14:textId="2C51FFAD" w:rsidR="00E7070E" w:rsidRPr="00792699" w:rsidRDefault="00E7070E" w:rsidP="00E7070E">
            <w:pPr>
              <w:jc w:val="center"/>
              <w:rPr>
                <w:rFonts w:ascii="Calibri" w:eastAsia="Times New Roman" w:hAnsi="Calibri" w:cs="Calibri"/>
                <w:color w:val="000000"/>
                <w:sz w:val="22"/>
                <w:lang w:eastAsia="es-CR"/>
              </w:rPr>
            </w:pPr>
            <w:r>
              <w:rPr>
                <w:rFonts w:ascii="Calibri" w:eastAsia="Times New Roman" w:hAnsi="Calibri" w:cs="Calibri"/>
                <w:color w:val="000000"/>
                <w:sz w:val="22"/>
                <w:lang w:eastAsia="es-CR"/>
              </w:rPr>
              <w:t>3</w:t>
            </w:r>
          </w:p>
        </w:tc>
        <w:tc>
          <w:tcPr>
            <w:tcW w:w="1564" w:type="dxa"/>
            <w:tcBorders>
              <w:top w:val="nil"/>
              <w:left w:val="nil"/>
              <w:bottom w:val="single" w:sz="4" w:space="0" w:color="auto"/>
              <w:right w:val="single" w:sz="4" w:space="0" w:color="auto"/>
            </w:tcBorders>
          </w:tcPr>
          <w:p w14:paraId="62A4EE75" w14:textId="1C59D73C" w:rsidR="00E7070E" w:rsidRDefault="00E7070E" w:rsidP="00E7070E">
            <w:pPr>
              <w:jc w:val="center"/>
              <w:rPr>
                <w:rFonts w:ascii="Calibri" w:eastAsia="Times New Roman" w:hAnsi="Calibri" w:cs="Calibri"/>
                <w:color w:val="000000"/>
                <w:sz w:val="22"/>
                <w:lang w:eastAsia="es-CR"/>
              </w:rPr>
            </w:pPr>
            <w:r>
              <w:rPr>
                <w:rFonts w:ascii="Calibri" w:eastAsia="Times New Roman" w:hAnsi="Calibri" w:cs="Calibri"/>
                <w:color w:val="000000"/>
                <w:sz w:val="22"/>
                <w:lang w:eastAsia="es-CR"/>
              </w:rPr>
              <w:t>4,35</w:t>
            </w:r>
          </w:p>
        </w:tc>
        <w:tc>
          <w:tcPr>
            <w:tcW w:w="1696" w:type="dxa"/>
            <w:tcBorders>
              <w:top w:val="nil"/>
              <w:left w:val="nil"/>
              <w:bottom w:val="single" w:sz="4" w:space="0" w:color="auto"/>
              <w:right w:val="single" w:sz="4" w:space="0" w:color="auto"/>
            </w:tcBorders>
          </w:tcPr>
          <w:p w14:paraId="3AA23169" w14:textId="7CE92A4E" w:rsidR="00E7070E" w:rsidRDefault="00E7070E" w:rsidP="00E7070E">
            <w:pPr>
              <w:jc w:val="center"/>
              <w:rPr>
                <w:rFonts w:ascii="Calibri" w:eastAsia="Times New Roman" w:hAnsi="Calibri" w:cs="Calibri"/>
                <w:color w:val="000000"/>
                <w:sz w:val="22"/>
                <w:lang w:eastAsia="es-CR"/>
              </w:rPr>
            </w:pPr>
            <w:r>
              <w:rPr>
                <w:rFonts w:ascii="Calibri" w:eastAsia="Times New Roman" w:hAnsi="Calibri" w:cs="Calibri"/>
                <w:color w:val="000000"/>
                <w:sz w:val="22"/>
                <w:lang w:eastAsia="es-CR"/>
              </w:rPr>
              <w:t>4,35</w:t>
            </w:r>
          </w:p>
        </w:tc>
      </w:tr>
      <w:tr w:rsidR="00E7070E" w:rsidRPr="008E55CF" w14:paraId="538F5903" w14:textId="7B4E4E13" w:rsidTr="0037725D">
        <w:trPr>
          <w:trHeight w:val="3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EA8C5" w14:textId="2DB28CB4" w:rsidR="00E7070E" w:rsidRPr="00792699" w:rsidRDefault="00E7070E" w:rsidP="00E7070E">
            <w:pPr>
              <w:jc w:val="right"/>
              <w:rPr>
                <w:rFonts w:ascii="Calibri" w:eastAsia="Times New Roman" w:hAnsi="Calibri" w:cs="Calibri"/>
                <w:color w:val="000000"/>
                <w:sz w:val="22"/>
                <w:lang w:eastAsia="es-CR"/>
              </w:rPr>
            </w:pPr>
            <w:r w:rsidRPr="00792699">
              <w:rPr>
                <w:rFonts w:ascii="Calibri" w:eastAsia="Times New Roman" w:hAnsi="Calibri" w:cs="Calibri"/>
                <w:color w:val="000000"/>
                <w:sz w:val="22"/>
                <w:lang w:eastAsia="es-CR"/>
              </w:rPr>
              <w:t>2019</w:t>
            </w:r>
          </w:p>
        </w:tc>
        <w:tc>
          <w:tcPr>
            <w:tcW w:w="1564" w:type="dxa"/>
            <w:tcBorders>
              <w:top w:val="single" w:sz="4" w:space="0" w:color="auto"/>
              <w:left w:val="nil"/>
              <w:bottom w:val="single" w:sz="4" w:space="0" w:color="auto"/>
              <w:right w:val="single" w:sz="4" w:space="0" w:color="auto"/>
            </w:tcBorders>
            <w:shd w:val="clear" w:color="auto" w:fill="auto"/>
            <w:noWrap/>
            <w:hideMark/>
          </w:tcPr>
          <w:p w14:paraId="5CDD73EB" w14:textId="0475703D" w:rsidR="00E7070E" w:rsidRPr="00792699" w:rsidRDefault="00E7070E" w:rsidP="00E7070E">
            <w:pPr>
              <w:jc w:val="center"/>
              <w:rPr>
                <w:rFonts w:ascii="Calibri" w:eastAsia="Times New Roman" w:hAnsi="Calibri" w:cs="Calibri"/>
                <w:color w:val="000000"/>
                <w:sz w:val="22"/>
                <w:lang w:eastAsia="es-CR"/>
              </w:rPr>
            </w:pPr>
            <w:r w:rsidRPr="00792699">
              <w:rPr>
                <w:sz w:val="22"/>
              </w:rPr>
              <w:t>1,50</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14:paraId="36B4DD02" w14:textId="5073548A" w:rsidR="00E7070E" w:rsidRPr="00792699" w:rsidRDefault="00E7070E" w:rsidP="00E7070E">
            <w:pPr>
              <w:jc w:val="center"/>
              <w:rPr>
                <w:rFonts w:ascii="Calibri" w:eastAsia="Times New Roman" w:hAnsi="Calibri" w:cs="Calibri"/>
                <w:color w:val="000000"/>
                <w:sz w:val="22"/>
                <w:lang w:eastAsia="es-CR"/>
              </w:rPr>
            </w:pPr>
            <w:r>
              <w:rPr>
                <w:rFonts w:ascii="Calibri" w:eastAsia="Times New Roman" w:hAnsi="Calibri" w:cs="Calibri"/>
                <w:color w:val="000000"/>
                <w:sz w:val="22"/>
                <w:lang w:eastAsia="es-CR"/>
              </w:rPr>
              <w:t>3</w:t>
            </w:r>
          </w:p>
        </w:tc>
        <w:tc>
          <w:tcPr>
            <w:tcW w:w="1564" w:type="dxa"/>
            <w:tcBorders>
              <w:top w:val="single" w:sz="4" w:space="0" w:color="auto"/>
              <w:left w:val="nil"/>
              <w:bottom w:val="single" w:sz="4" w:space="0" w:color="auto"/>
              <w:right w:val="single" w:sz="4" w:space="0" w:color="auto"/>
            </w:tcBorders>
          </w:tcPr>
          <w:p w14:paraId="44934F39" w14:textId="3DA2E958" w:rsidR="00E7070E" w:rsidRDefault="00E7070E" w:rsidP="00E7070E">
            <w:pPr>
              <w:jc w:val="center"/>
              <w:rPr>
                <w:rFonts w:ascii="Calibri" w:eastAsia="Times New Roman" w:hAnsi="Calibri" w:cs="Calibri"/>
                <w:color w:val="000000"/>
                <w:sz w:val="22"/>
                <w:lang w:eastAsia="es-CR"/>
              </w:rPr>
            </w:pPr>
            <w:r>
              <w:rPr>
                <w:rFonts w:ascii="Calibri" w:eastAsia="Times New Roman" w:hAnsi="Calibri" w:cs="Calibri"/>
                <w:color w:val="000000"/>
                <w:sz w:val="22"/>
                <w:lang w:eastAsia="es-CR"/>
              </w:rPr>
              <w:t>4,50</w:t>
            </w:r>
          </w:p>
        </w:tc>
        <w:tc>
          <w:tcPr>
            <w:tcW w:w="1696" w:type="dxa"/>
            <w:tcBorders>
              <w:top w:val="single" w:sz="4" w:space="0" w:color="auto"/>
              <w:left w:val="nil"/>
              <w:bottom w:val="single" w:sz="4" w:space="0" w:color="auto"/>
              <w:right w:val="single" w:sz="4" w:space="0" w:color="auto"/>
            </w:tcBorders>
          </w:tcPr>
          <w:p w14:paraId="0616334E" w14:textId="1808F9E2" w:rsidR="00E7070E" w:rsidRDefault="00E7070E" w:rsidP="00E7070E">
            <w:pPr>
              <w:jc w:val="center"/>
              <w:rPr>
                <w:rFonts w:ascii="Calibri" w:eastAsia="Times New Roman" w:hAnsi="Calibri" w:cs="Calibri"/>
                <w:color w:val="000000"/>
                <w:sz w:val="22"/>
                <w:lang w:eastAsia="es-CR"/>
              </w:rPr>
            </w:pPr>
            <w:r>
              <w:rPr>
                <w:rFonts w:ascii="Calibri" w:eastAsia="Times New Roman" w:hAnsi="Calibri" w:cs="Calibri"/>
                <w:color w:val="000000"/>
                <w:sz w:val="22"/>
                <w:lang w:eastAsia="es-CR"/>
              </w:rPr>
              <w:t>4,50</w:t>
            </w:r>
          </w:p>
        </w:tc>
      </w:tr>
      <w:tr w:rsidR="0037725D" w:rsidRPr="008E55CF" w14:paraId="07304649" w14:textId="77777777" w:rsidTr="0037725D">
        <w:trPr>
          <w:trHeight w:val="3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DFB7C" w14:textId="36C8B088" w:rsidR="0037725D" w:rsidRPr="00792699" w:rsidRDefault="0037725D" w:rsidP="00E7070E">
            <w:pPr>
              <w:jc w:val="right"/>
              <w:rPr>
                <w:rFonts w:ascii="Calibri" w:eastAsia="Times New Roman" w:hAnsi="Calibri" w:cs="Calibri"/>
                <w:color w:val="000000"/>
                <w:sz w:val="22"/>
                <w:lang w:eastAsia="es-CR"/>
              </w:rPr>
            </w:pPr>
            <w:r>
              <w:rPr>
                <w:rFonts w:ascii="Calibri" w:eastAsia="Times New Roman" w:hAnsi="Calibri" w:cs="Calibri"/>
                <w:color w:val="000000"/>
                <w:sz w:val="22"/>
                <w:lang w:eastAsia="es-CR"/>
              </w:rPr>
              <w:t>2020</w:t>
            </w:r>
          </w:p>
        </w:tc>
        <w:tc>
          <w:tcPr>
            <w:tcW w:w="1564" w:type="dxa"/>
            <w:tcBorders>
              <w:top w:val="single" w:sz="4" w:space="0" w:color="auto"/>
              <w:left w:val="nil"/>
              <w:bottom w:val="single" w:sz="4" w:space="0" w:color="auto"/>
              <w:right w:val="single" w:sz="4" w:space="0" w:color="auto"/>
            </w:tcBorders>
            <w:shd w:val="clear" w:color="auto" w:fill="auto"/>
            <w:noWrap/>
          </w:tcPr>
          <w:p w14:paraId="29F5B617" w14:textId="7C07723A" w:rsidR="0037725D" w:rsidRPr="00792699" w:rsidRDefault="0037725D" w:rsidP="00E7070E">
            <w:pPr>
              <w:jc w:val="center"/>
              <w:rPr>
                <w:sz w:val="22"/>
              </w:rPr>
            </w:pPr>
            <w:r>
              <w:rPr>
                <w:sz w:val="22"/>
              </w:rPr>
              <w:t>1,40</w:t>
            </w:r>
          </w:p>
        </w:tc>
        <w:tc>
          <w:tcPr>
            <w:tcW w:w="1564" w:type="dxa"/>
            <w:tcBorders>
              <w:top w:val="single" w:sz="4" w:space="0" w:color="auto"/>
              <w:left w:val="nil"/>
              <w:bottom w:val="single" w:sz="4" w:space="0" w:color="auto"/>
              <w:right w:val="single" w:sz="4" w:space="0" w:color="auto"/>
            </w:tcBorders>
            <w:shd w:val="clear" w:color="auto" w:fill="auto"/>
            <w:noWrap/>
            <w:vAlign w:val="center"/>
          </w:tcPr>
          <w:p w14:paraId="5257555D" w14:textId="44B60FF5" w:rsidR="0037725D" w:rsidRDefault="0037725D" w:rsidP="00E7070E">
            <w:pPr>
              <w:jc w:val="center"/>
              <w:rPr>
                <w:rFonts w:ascii="Calibri" w:eastAsia="Times New Roman" w:hAnsi="Calibri" w:cs="Calibri"/>
                <w:color w:val="000000"/>
                <w:sz w:val="22"/>
                <w:lang w:eastAsia="es-CR"/>
              </w:rPr>
            </w:pPr>
            <w:r>
              <w:rPr>
                <w:rFonts w:ascii="Calibri" w:eastAsia="Times New Roman" w:hAnsi="Calibri" w:cs="Calibri"/>
                <w:color w:val="000000"/>
                <w:sz w:val="22"/>
                <w:lang w:eastAsia="es-CR"/>
              </w:rPr>
              <w:t>3</w:t>
            </w:r>
          </w:p>
        </w:tc>
        <w:tc>
          <w:tcPr>
            <w:tcW w:w="1564" w:type="dxa"/>
            <w:tcBorders>
              <w:top w:val="single" w:sz="4" w:space="0" w:color="auto"/>
              <w:left w:val="nil"/>
              <w:bottom w:val="single" w:sz="4" w:space="0" w:color="auto"/>
              <w:right w:val="single" w:sz="4" w:space="0" w:color="auto"/>
            </w:tcBorders>
          </w:tcPr>
          <w:p w14:paraId="7B72B5C9" w14:textId="30DAB421" w:rsidR="0037725D" w:rsidRDefault="0037725D" w:rsidP="00E7070E">
            <w:pPr>
              <w:jc w:val="center"/>
              <w:rPr>
                <w:rFonts w:ascii="Calibri" w:eastAsia="Times New Roman" w:hAnsi="Calibri" w:cs="Calibri"/>
                <w:color w:val="000000"/>
                <w:sz w:val="22"/>
                <w:lang w:eastAsia="es-CR"/>
              </w:rPr>
            </w:pPr>
            <w:r>
              <w:rPr>
                <w:rFonts w:ascii="Calibri" w:eastAsia="Times New Roman" w:hAnsi="Calibri" w:cs="Calibri"/>
                <w:color w:val="000000"/>
                <w:sz w:val="22"/>
                <w:lang w:eastAsia="es-CR"/>
              </w:rPr>
              <w:t>4,40</w:t>
            </w:r>
          </w:p>
        </w:tc>
        <w:tc>
          <w:tcPr>
            <w:tcW w:w="1696" w:type="dxa"/>
            <w:tcBorders>
              <w:top w:val="single" w:sz="4" w:space="0" w:color="auto"/>
              <w:left w:val="nil"/>
              <w:bottom w:val="single" w:sz="4" w:space="0" w:color="auto"/>
              <w:right w:val="single" w:sz="4" w:space="0" w:color="auto"/>
            </w:tcBorders>
          </w:tcPr>
          <w:p w14:paraId="7AB4DA86" w14:textId="621F6FF9" w:rsidR="0037725D" w:rsidRDefault="0037725D" w:rsidP="00E7070E">
            <w:pPr>
              <w:jc w:val="center"/>
              <w:rPr>
                <w:rFonts w:ascii="Calibri" w:eastAsia="Times New Roman" w:hAnsi="Calibri" w:cs="Calibri"/>
                <w:color w:val="000000"/>
                <w:sz w:val="22"/>
                <w:lang w:eastAsia="es-CR"/>
              </w:rPr>
            </w:pPr>
            <w:r>
              <w:rPr>
                <w:rFonts w:ascii="Calibri" w:eastAsia="Times New Roman" w:hAnsi="Calibri" w:cs="Calibri"/>
                <w:color w:val="000000"/>
                <w:sz w:val="22"/>
                <w:lang w:eastAsia="es-CR"/>
              </w:rPr>
              <w:t>4,40</w:t>
            </w:r>
          </w:p>
        </w:tc>
      </w:tr>
    </w:tbl>
    <w:p w14:paraId="4118CEF6" w14:textId="77777777" w:rsidR="00792699" w:rsidRPr="001509CB" w:rsidRDefault="00792699" w:rsidP="00B5401E">
      <w:pPr>
        <w:ind w:left="284"/>
      </w:pPr>
    </w:p>
    <w:p w14:paraId="7908047D" w14:textId="77777777" w:rsidR="00047BCB" w:rsidRDefault="00047BCB" w:rsidP="00F67C5E"/>
    <w:p w14:paraId="3593873A" w14:textId="5950D591" w:rsidR="004F31DD" w:rsidRDefault="004F31DD" w:rsidP="00B5401E">
      <w:pPr>
        <w:ind w:left="284"/>
      </w:pPr>
      <w:r>
        <w:t xml:space="preserve">Es importante señalar que la metodología establece </w:t>
      </w:r>
      <w:r w:rsidR="007B7691">
        <w:t>que</w:t>
      </w:r>
      <w:r w:rsidR="0067251D">
        <w:t xml:space="preserve"> el</w:t>
      </w:r>
      <w:r w:rsidR="007B7691">
        <w:t xml:space="preserve"> </w:t>
      </w:r>
      <w:r w:rsidR="007B7691" w:rsidRPr="007B7691">
        <w:t>cambio de la UFR de un periodo a otro estará limitado por un crecimiento o decrecimiento máximo de 15 puntos base</w:t>
      </w:r>
      <w:r w:rsidR="0067251D">
        <w:t xml:space="preserve">. </w:t>
      </w:r>
      <w:r w:rsidR="0037725D">
        <w:t xml:space="preserve">Por tanto, se compara el resultado de la </w:t>
      </w:r>
      <w:r w:rsidR="00E7070E">
        <w:t>UFR 20</w:t>
      </w:r>
      <w:r w:rsidR="0037725D">
        <w:t>20</w:t>
      </w:r>
      <w:r w:rsidR="00E7070E">
        <w:t xml:space="preserve"> con respecto al UFR del 201</w:t>
      </w:r>
      <w:r w:rsidR="0037725D">
        <w:t>9</w:t>
      </w:r>
      <w:r w:rsidR="00E7070E">
        <w:t xml:space="preserve">. En este caso, no es necesario ningún ajuste pues </w:t>
      </w:r>
      <w:r w:rsidR="004A4C37">
        <w:t>la variación</w:t>
      </w:r>
      <w:r w:rsidR="00E7070E">
        <w:t xml:space="preserve"> no supera los 15 puntos base.</w:t>
      </w:r>
    </w:p>
    <w:p w14:paraId="2952CAF3" w14:textId="1159EDBD" w:rsidR="00141481" w:rsidRDefault="00141481" w:rsidP="00F67C5E"/>
    <w:p w14:paraId="42021BEA" w14:textId="2B342F33" w:rsidR="000128E6" w:rsidRDefault="000128E6">
      <w:pPr>
        <w:spacing w:line="360" w:lineRule="auto"/>
        <w:jc w:val="left"/>
      </w:pPr>
      <w:r>
        <w:br w:type="page"/>
      </w:r>
    </w:p>
    <w:p w14:paraId="0C0390EC" w14:textId="77777777" w:rsidR="003B0E05" w:rsidRDefault="003B0E05" w:rsidP="00F67C5E"/>
    <w:p w14:paraId="6840A61E" w14:textId="68415E33" w:rsidR="00141481" w:rsidRPr="00485D23" w:rsidRDefault="005B6ADF" w:rsidP="00F67C5E">
      <w:pPr>
        <w:pStyle w:val="Prrafodelista"/>
        <w:numPr>
          <w:ilvl w:val="0"/>
          <w:numId w:val="30"/>
        </w:numPr>
        <w:spacing w:after="0"/>
        <w:rPr>
          <w:rStyle w:val="Ttulo2Car"/>
          <w:rFonts w:asciiTheme="minorHAnsi" w:eastAsiaTheme="minorEastAsia" w:hAnsiTheme="minorHAnsi" w:cstheme="minorBidi"/>
          <w:color w:val="auto"/>
          <w:sz w:val="24"/>
          <w:szCs w:val="24"/>
        </w:rPr>
      </w:pPr>
      <w:bookmarkStart w:id="7" w:name="_Toc37177678"/>
      <w:r>
        <w:rPr>
          <w:rStyle w:val="Ttulo2Car"/>
          <w:rFonts w:ascii="Century Gothic" w:hAnsi="Century Gothic"/>
          <w:b/>
          <w:sz w:val="24"/>
        </w:rPr>
        <w:t>Descripción del método Smith-Wilson</w:t>
      </w:r>
      <w:bookmarkEnd w:id="7"/>
    </w:p>
    <w:p w14:paraId="3D055FAC" w14:textId="14DE0DB6" w:rsidR="005B6ADF" w:rsidRDefault="005B6ADF" w:rsidP="00F67C5E"/>
    <w:p w14:paraId="41A58B99" w14:textId="6C46FF3F" w:rsidR="005B6ADF" w:rsidRPr="00B5401E" w:rsidRDefault="005B6ADF" w:rsidP="00B5401E">
      <w:pPr>
        <w:autoSpaceDE w:val="0"/>
        <w:autoSpaceDN w:val="0"/>
        <w:adjustRightInd w:val="0"/>
      </w:pPr>
      <w:r w:rsidRPr="00B5401E">
        <w:t>De conformidad con la metodología, para la estimación de la curva se utiliza la siguiente función:</w:t>
      </w:r>
    </w:p>
    <w:p w14:paraId="06E93D6F" w14:textId="77777777" w:rsidR="005B6ADF" w:rsidRPr="00F21725" w:rsidRDefault="005B6ADF" w:rsidP="005B6ADF">
      <w:pPr>
        <w:autoSpaceDE w:val="0"/>
        <w:autoSpaceDN w:val="0"/>
        <w:adjustRightInd w:val="0"/>
        <w:ind w:left="426"/>
        <w:rPr>
          <w:rFonts w:asciiTheme="majorHAnsi" w:hAnsiTheme="majorHAnsi" w:cstheme="minorHAnsi"/>
        </w:rPr>
      </w:pPr>
    </w:p>
    <w:p w14:paraId="3CE67E6D" w14:textId="77777777" w:rsidR="005B6ADF" w:rsidRPr="00F21725" w:rsidRDefault="005B6ADF" w:rsidP="005B6ADF">
      <w:pPr>
        <w:autoSpaceDE w:val="0"/>
        <w:autoSpaceDN w:val="0"/>
        <w:adjustRightInd w:val="0"/>
        <w:ind w:left="426"/>
        <w:rPr>
          <w:rFonts w:asciiTheme="majorHAnsi" w:hAnsiTheme="majorHAnsi" w:cstheme="minorHAnsi"/>
        </w:rPr>
      </w:pPr>
      <m:oMathPara>
        <m:oMath>
          <m:r>
            <w:rPr>
              <w:rFonts w:ascii="Cambria Math" w:hAnsi="Cambria Math" w:cstheme="minorHAnsi"/>
            </w:rPr>
            <m:t>P</m:t>
          </m:r>
          <m:d>
            <m:dPr>
              <m:ctrlPr>
                <w:rPr>
                  <w:rFonts w:ascii="Cambria Math" w:hAnsi="Cambria Math" w:cstheme="minorHAnsi"/>
                  <w:i/>
                </w:rPr>
              </m:ctrlPr>
            </m:dPr>
            <m:e>
              <m:r>
                <w:rPr>
                  <w:rFonts w:ascii="Cambria Math" w:hAnsi="Cambria Math" w:cstheme="minorHAnsi"/>
                </w:rPr>
                <m:t>t</m:t>
              </m:r>
            </m:e>
          </m:d>
          <m:r>
            <w:rPr>
              <w:rFonts w:ascii="Cambria Math" w:hAnsi="Cambria Math" w:cstheme="minorHAnsi"/>
            </w:rPr>
            <m:t xml:space="preserve">= </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-UFR*t</m:t>
              </m:r>
            </m:sup>
          </m:sSup>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m:t>
              </m:r>
            </m:sup>
            <m:e>
              <m:sSub>
                <m:sSubPr>
                  <m:ctrlPr>
                    <w:rPr>
                      <w:rFonts w:ascii="Cambria Math" w:hAnsi="Cambria Math" w:cstheme="minorHAnsi"/>
                      <w:i/>
                    </w:rPr>
                  </m:ctrlPr>
                </m:sSubPr>
                <m:e>
                  <m:r>
                    <w:rPr>
                      <w:rFonts w:ascii="Cambria Math" w:hAnsi="Cambria Math" w:cstheme="minorHAnsi"/>
                    </w:rPr>
                    <m:t>ζ</m:t>
                  </m:r>
                </m:e>
                <m:sub>
                  <m:r>
                    <w:rPr>
                      <w:rFonts w:ascii="Cambria Math" w:hAnsi="Cambria Math" w:cstheme="minorHAnsi"/>
                    </w:rPr>
                    <m:t>i</m:t>
                  </m:r>
                </m:sub>
              </m:sSub>
              <m:r>
                <w:rPr>
                  <w:rFonts w:ascii="Cambria Math" w:hAnsi="Cambria Math" w:cstheme="minorHAnsi"/>
                </w:rPr>
                <m:t>W</m:t>
              </m:r>
              <m:d>
                <m:dPr>
                  <m:ctrlPr>
                    <w:rPr>
                      <w:rFonts w:ascii="Cambria Math" w:hAnsi="Cambria Math" w:cstheme="minorHAnsi"/>
                      <w:i/>
                    </w:rPr>
                  </m:ctrlPr>
                </m:dPr>
                <m:e>
                  <m:r>
                    <w:rPr>
                      <w:rFonts w:ascii="Cambria Math" w:hAnsi="Cambria Math" w:cstheme="minorHAnsi"/>
                    </w:rPr>
                    <m:t xml:space="preserve">t, </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i</m:t>
                      </m:r>
                    </m:sub>
                  </m:sSub>
                </m:e>
              </m:d>
              <m:r>
                <w:rPr>
                  <w:rFonts w:ascii="Cambria Math" w:hAnsi="Cambria Math" w:cstheme="minorHAnsi"/>
                </w:rPr>
                <m:t xml:space="preserve">    con t≥0</m:t>
              </m:r>
            </m:e>
          </m:nary>
        </m:oMath>
      </m:oMathPara>
    </w:p>
    <w:p w14:paraId="718CF0CA" w14:textId="77777777" w:rsidR="005B6ADF" w:rsidRPr="00595E21" w:rsidRDefault="005B6ADF" w:rsidP="005B6ADF">
      <w:pPr>
        <w:ind w:left="426"/>
        <w:rPr>
          <w:rFonts w:asciiTheme="majorHAnsi" w:hAnsiTheme="majorHAnsi"/>
          <w:color w:val="000000"/>
        </w:rPr>
      </w:pPr>
    </w:p>
    <w:p w14:paraId="46FE6361" w14:textId="77777777" w:rsidR="005B6ADF" w:rsidRPr="00B5401E" w:rsidRDefault="005B6ADF" w:rsidP="00B5401E">
      <w:r w:rsidRPr="00B5401E">
        <w:t xml:space="preserve">Como se observa la función P(t) es la suma de dos componentes, el primero, es un término asintótico, que usa como tipo de interés de descuento la UFR que hace que el término se aproxime al valor auténtico de la función precio cuando está próximo el horizonte temporal definido. Mientras que el segundo componente es una combinación lineal de las funciones de Wilson que provienen de los precios de los bonos cero cupón observados con vencimiento </w:t>
      </w:r>
      <m:oMath>
        <m:sSub>
          <m:sSubPr>
            <m:ctrlPr>
              <w:rPr>
                <w:rFonts w:ascii="Cambria Math" w:hAnsi="Cambria Math"/>
              </w:rPr>
            </m:ctrlPr>
          </m:sSubPr>
          <m:e>
            <m:r>
              <w:rPr>
                <w:rFonts w:ascii="Cambria Math" w:hAnsi="Cambria Math"/>
              </w:rPr>
              <m:t>u</m:t>
            </m:r>
          </m:e>
          <m:sub>
            <m:r>
              <w:rPr>
                <w:rFonts w:ascii="Cambria Math" w:hAnsi="Cambria Math"/>
              </w:rPr>
              <m:t>i</m:t>
            </m:r>
          </m:sub>
        </m:sSub>
      </m:oMath>
      <w:r w:rsidRPr="00B5401E">
        <w:t>.</w:t>
      </w:r>
    </w:p>
    <w:p w14:paraId="28374C98" w14:textId="77777777" w:rsidR="005B6ADF" w:rsidRPr="00B5401E" w:rsidRDefault="005B6ADF" w:rsidP="005B6ADF">
      <w:pPr>
        <w:ind w:left="426"/>
      </w:pPr>
    </w:p>
    <w:p w14:paraId="6C821A37" w14:textId="77777777" w:rsidR="005B6ADF" w:rsidRPr="00B5401E" w:rsidRDefault="005B6ADF" w:rsidP="005B6ADF">
      <w:pPr>
        <w:autoSpaceDE w:val="0"/>
        <w:autoSpaceDN w:val="0"/>
        <w:adjustRightInd w:val="0"/>
        <w:ind w:left="426"/>
      </w:pPr>
      <w:r w:rsidRPr="00B5401E">
        <w:t>La ecuación de la función de Wilson se expresa de la siguiente manera:</w:t>
      </w:r>
    </w:p>
    <w:p w14:paraId="56349642" w14:textId="77777777" w:rsidR="005B6ADF" w:rsidRPr="00595E21" w:rsidRDefault="005B6ADF" w:rsidP="005B6ADF">
      <w:pPr>
        <w:autoSpaceDE w:val="0"/>
        <w:autoSpaceDN w:val="0"/>
        <w:adjustRightInd w:val="0"/>
        <w:ind w:left="426"/>
        <w:rPr>
          <w:rFonts w:asciiTheme="majorHAnsi" w:hAnsiTheme="majorHAnsi" w:cstheme="minorHAnsi"/>
        </w:rPr>
      </w:pPr>
    </w:p>
    <w:p w14:paraId="3A753992" w14:textId="77777777" w:rsidR="005B6ADF" w:rsidRPr="00595E21" w:rsidRDefault="005B6ADF" w:rsidP="005B6ADF">
      <w:pPr>
        <w:autoSpaceDE w:val="0"/>
        <w:autoSpaceDN w:val="0"/>
        <w:adjustRightInd w:val="0"/>
        <w:ind w:left="426"/>
        <w:rPr>
          <w:rFonts w:asciiTheme="majorHAnsi" w:hAnsiTheme="majorHAnsi" w:cstheme="minorHAnsi"/>
        </w:rPr>
      </w:pPr>
      <m:oMathPara>
        <m:oMath>
          <m:r>
            <w:rPr>
              <w:rFonts w:ascii="Cambria Math" w:hAnsi="Cambria Math" w:cstheme="minorHAnsi"/>
            </w:rPr>
            <m:t>W</m:t>
          </m:r>
          <m:d>
            <m:dPr>
              <m:ctrlPr>
                <w:rPr>
                  <w:rFonts w:ascii="Cambria Math" w:hAnsi="Cambria Math" w:cstheme="minorHAnsi"/>
                  <w:i/>
                </w:rPr>
              </m:ctrlPr>
            </m:dPr>
            <m:e>
              <m:r>
                <w:rPr>
                  <w:rFonts w:ascii="Cambria Math" w:hAnsi="Cambria Math" w:cstheme="minorHAnsi"/>
                </w:rPr>
                <m:t xml:space="preserve">t, </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i</m:t>
                  </m:r>
                </m:sub>
              </m:sSub>
            </m:e>
          </m:d>
          <m:r>
            <w:rPr>
              <w:rFonts w:ascii="Cambria Math" w:hAnsi="Cambria Math" w:cstheme="minorHAnsi"/>
            </w:rPr>
            <m:t xml:space="preserve">= </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-UFR(t+</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i</m:t>
                  </m:r>
                </m:sub>
              </m:sSub>
              <m:r>
                <w:rPr>
                  <w:rFonts w:ascii="Cambria Math" w:hAnsi="Cambria Math" w:cstheme="minorHAnsi"/>
                </w:rPr>
                <m:t>)</m:t>
              </m:r>
            </m:sup>
          </m:sSup>
          <m:d>
            <m:dPr>
              <m:begChr m:val="{"/>
              <m:endChr m:val="}"/>
              <m:ctrlPr>
                <w:rPr>
                  <w:rFonts w:ascii="Cambria Math" w:hAnsi="Cambria Math" w:cstheme="minorHAnsi"/>
                  <w:i/>
                </w:rPr>
              </m:ctrlPr>
            </m:dPr>
            <m:e>
              <m:r>
                <w:rPr>
                  <w:rFonts w:ascii="Cambria Math" w:hAnsi="Cambria Math" w:cstheme="minorHAnsi"/>
                </w:rPr>
                <m:t>α</m:t>
              </m:r>
              <m:func>
                <m:funcPr>
                  <m:ctrlPr>
                    <w:rPr>
                      <w:rFonts w:ascii="Cambria Math" w:hAnsi="Cambria Math" w:cstheme="minorHAnsi"/>
                    </w:rPr>
                  </m:ctrlPr>
                </m:funcPr>
                <m:fName>
                  <m:r>
                    <m:rPr>
                      <m:sty m:val="p"/>
                    </m:rPr>
                    <w:rPr>
                      <w:rFonts w:ascii="Cambria Math" w:hAnsi="Cambria Math" w:cstheme="minorHAnsi"/>
                    </w:rPr>
                    <m:t>min</m:t>
                  </m:r>
                </m:fName>
                <m:e>
                  <m:d>
                    <m:dPr>
                      <m:ctrlPr>
                        <w:rPr>
                          <w:rFonts w:ascii="Cambria Math" w:hAnsi="Cambria Math" w:cstheme="minorHAnsi"/>
                          <w:i/>
                        </w:rPr>
                      </m:ctrlPr>
                    </m:dPr>
                    <m:e>
                      <m:r>
                        <w:rPr>
                          <w:rFonts w:ascii="Cambria Math" w:hAnsi="Cambria Math" w:cstheme="minorHAnsi"/>
                        </w:rPr>
                        <m:t>t,</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i</m:t>
                          </m:r>
                        </m:sub>
                      </m:sSub>
                    </m:e>
                  </m:d>
                </m:e>
              </m:func>
              <m:r>
                <w:rPr>
                  <w:rFonts w:ascii="Cambria Math" w:hAnsi="Cambria Math" w:cstheme="minorHAnsi"/>
                </w:rPr>
                <m:t>-0,5</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-αmáx</m:t>
                  </m:r>
                  <m:d>
                    <m:dPr>
                      <m:ctrlPr>
                        <w:rPr>
                          <w:rFonts w:ascii="Cambria Math" w:hAnsi="Cambria Math" w:cstheme="minorHAnsi"/>
                          <w:i/>
                        </w:rPr>
                      </m:ctrlPr>
                    </m:dPr>
                    <m:e>
                      <m:r>
                        <w:rPr>
                          <w:rFonts w:ascii="Cambria Math" w:hAnsi="Cambria Math" w:cstheme="minorHAnsi"/>
                        </w:rPr>
                        <m:t>t,</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i</m:t>
                          </m:r>
                        </m:sub>
                      </m:sSub>
                    </m:e>
                  </m:d>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αmin</m:t>
                  </m:r>
                  <m:d>
                    <m:dPr>
                      <m:ctrlPr>
                        <w:rPr>
                          <w:rFonts w:ascii="Cambria Math" w:hAnsi="Cambria Math" w:cstheme="minorHAnsi"/>
                          <w:i/>
                        </w:rPr>
                      </m:ctrlPr>
                    </m:dPr>
                    <m:e>
                      <m:r>
                        <w:rPr>
                          <w:rFonts w:ascii="Cambria Math" w:hAnsi="Cambria Math" w:cstheme="minorHAnsi"/>
                        </w:rPr>
                        <m:t>t,</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i</m:t>
                          </m:r>
                        </m:sub>
                      </m:sSub>
                    </m:e>
                  </m:d>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-αmin</m:t>
                  </m:r>
                  <m:d>
                    <m:dPr>
                      <m:ctrlPr>
                        <w:rPr>
                          <w:rFonts w:ascii="Cambria Math" w:hAnsi="Cambria Math" w:cstheme="minorHAnsi"/>
                          <w:i/>
                        </w:rPr>
                      </m:ctrlPr>
                    </m:dPr>
                    <m:e>
                      <m:r>
                        <w:rPr>
                          <w:rFonts w:ascii="Cambria Math" w:hAnsi="Cambria Math" w:cstheme="minorHAnsi"/>
                        </w:rPr>
                        <m:t>t,</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i</m:t>
                          </m:r>
                        </m:sub>
                      </m:sSub>
                    </m:e>
                  </m:d>
                </m:sup>
              </m:sSup>
            </m:e>
          </m:d>
        </m:oMath>
      </m:oMathPara>
    </w:p>
    <w:p w14:paraId="3E2E567A" w14:textId="77777777" w:rsidR="005B6ADF" w:rsidRPr="00595E21" w:rsidRDefault="005B6ADF" w:rsidP="005B6ADF">
      <w:pPr>
        <w:autoSpaceDE w:val="0"/>
        <w:autoSpaceDN w:val="0"/>
        <w:adjustRightInd w:val="0"/>
        <w:ind w:left="426"/>
        <w:rPr>
          <w:rFonts w:asciiTheme="majorHAnsi" w:hAnsiTheme="majorHAnsi" w:cstheme="minorHAnsi"/>
        </w:rPr>
      </w:pPr>
    </w:p>
    <w:p w14:paraId="12B86841" w14:textId="77777777" w:rsidR="005B6ADF" w:rsidRPr="00B5401E" w:rsidRDefault="005B6ADF" w:rsidP="00B5401E">
      <w:r w:rsidRPr="00B5401E">
        <w:t>Donde:</w:t>
      </w:r>
    </w:p>
    <w:p w14:paraId="47844899" w14:textId="77777777" w:rsidR="005B6ADF" w:rsidRPr="00B5401E" w:rsidRDefault="005B6ADF" w:rsidP="00B5401E"/>
    <w:p w14:paraId="38E1FE42" w14:textId="77777777" w:rsidR="005B6ADF" w:rsidRPr="00B5401E" w:rsidRDefault="005B6ADF" w:rsidP="00B5401E">
      <w:r w:rsidRPr="00B5401E">
        <w:t>N: es el número de bonos cero cupón teóricos conocidos en la función de precios.</w:t>
      </w:r>
    </w:p>
    <w:p w14:paraId="50E3FA4D" w14:textId="77777777" w:rsidR="005B6ADF" w:rsidRPr="00B5401E" w:rsidRDefault="005B6ADF" w:rsidP="00B5401E"/>
    <w:p w14:paraId="55062B05" w14:textId="77777777" w:rsidR="005B6ADF" w:rsidRPr="00B5401E" w:rsidRDefault="00A07579" w:rsidP="00B5401E">
      <m:oMath>
        <m:sSub>
          <m:sSubPr>
            <m:ctrlPr>
              <w:rPr>
                <w:rFonts w:ascii="Cambria Math" w:hAnsi="Cambria Math"/>
              </w:rPr>
            </m:ctrlPr>
          </m:sSubPr>
          <m:e>
            <m:r>
              <w:rPr>
                <w:rFonts w:ascii="Cambria Math" w:hAnsi="Cambria Math"/>
              </w:rPr>
              <m:t>u</m:t>
            </m:r>
          </m:e>
          <m:sub>
            <m:r>
              <w:rPr>
                <w:rFonts w:ascii="Cambria Math" w:hAnsi="Cambria Math"/>
              </w:rPr>
              <m:t>i</m:t>
            </m:r>
          </m:sub>
        </m:sSub>
      </m:oMath>
      <w:r w:rsidR="005B6ADF" w:rsidRPr="00B5401E">
        <w:t>: son los vencimientos de los bonos cero cupón teóricos, para i=1, 2,…, N.</w:t>
      </w:r>
    </w:p>
    <w:p w14:paraId="7311B229" w14:textId="77777777" w:rsidR="000128E6" w:rsidRDefault="000128E6" w:rsidP="00B5401E"/>
    <w:p w14:paraId="68AD50DB" w14:textId="4CEE752A" w:rsidR="005B6ADF" w:rsidRPr="00B5401E" w:rsidRDefault="005B6ADF" w:rsidP="00B5401E">
      <w:r w:rsidRPr="00B5401E">
        <w:t>α: es un parámetro que representa la velocidad en que los tipos convergen a UFR. El parámetro α =0,1 proporciona una extrapolación que se ajusta a la mayoría de las curvas de tipos de interés y constituye un estándar internacional.</w:t>
      </w:r>
    </w:p>
    <w:p w14:paraId="5C03CCEE" w14:textId="77777777" w:rsidR="005B6ADF" w:rsidRPr="00B5401E" w:rsidRDefault="005B6ADF" w:rsidP="00B5401E"/>
    <w:p w14:paraId="18D9AB78" w14:textId="77777777" w:rsidR="005B6ADF" w:rsidRPr="00B5401E" w:rsidRDefault="005B6ADF" w:rsidP="00B5401E">
      <w:r w:rsidRPr="00B5401E">
        <w:t>t: es el vencimiento evaluado en la función P(t).</w:t>
      </w:r>
    </w:p>
    <w:p w14:paraId="7193C85F" w14:textId="77777777" w:rsidR="005B6ADF" w:rsidRPr="00B5401E" w:rsidRDefault="005B6ADF" w:rsidP="00B5401E"/>
    <w:p w14:paraId="4D7AE40A" w14:textId="77777777" w:rsidR="005B6ADF" w:rsidRPr="00B5401E" w:rsidRDefault="005B6ADF" w:rsidP="00B5401E">
      <w:r w:rsidRPr="00B5401E">
        <w:t>UFR: es el Ultimate Forward Rate</w:t>
      </w:r>
    </w:p>
    <w:p w14:paraId="7E8B3376" w14:textId="77777777" w:rsidR="005B6ADF" w:rsidRPr="00B5401E" w:rsidRDefault="005B6ADF" w:rsidP="00B5401E"/>
    <w:p w14:paraId="3D424249" w14:textId="77777777" w:rsidR="005B6ADF" w:rsidRPr="00B5401E" w:rsidRDefault="00A07579" w:rsidP="00B5401E">
      <m:oMath>
        <m:sSub>
          <m:sSubPr>
            <m:ctrlPr>
              <w:rPr>
                <w:rFonts w:ascii="Cambria Math" w:hAnsi="Cambria Math"/>
              </w:rPr>
            </m:ctrlPr>
          </m:sSubPr>
          <m:e>
            <m:r>
              <w:rPr>
                <w:rFonts w:ascii="Cambria Math" w:hAnsi="Cambria Math"/>
              </w:rPr>
              <m:t>ζ</m:t>
            </m:r>
          </m:e>
          <m:sub>
            <m:r>
              <w:rPr>
                <w:rFonts w:ascii="Cambria Math" w:hAnsi="Cambria Math"/>
              </w:rPr>
              <m:t>i</m:t>
            </m:r>
          </m:sub>
        </m:sSub>
      </m:oMath>
      <w:r w:rsidR="005B6ADF" w:rsidRPr="00B5401E">
        <w:t>: son parámetros desconocidos del modelo, para i= 1, 2,…, N.</w:t>
      </w:r>
    </w:p>
    <w:p w14:paraId="31F5AD48" w14:textId="77777777" w:rsidR="005B6ADF" w:rsidRPr="00B5401E" w:rsidRDefault="005B6ADF" w:rsidP="005B6ADF"/>
    <w:p w14:paraId="390576ED" w14:textId="77777777" w:rsidR="005B6ADF" w:rsidRPr="00B5401E" w:rsidRDefault="005B6ADF" w:rsidP="00B5401E">
      <w:r w:rsidRPr="00B5401E">
        <w:lastRenderedPageBreak/>
        <w:t xml:space="preserve">Para calcular los </w:t>
      </w:r>
      <m:oMath>
        <m:sSub>
          <m:sSubPr>
            <m:ctrlPr>
              <w:rPr>
                <w:rFonts w:ascii="Cambria Math" w:hAnsi="Cambria Math"/>
              </w:rPr>
            </m:ctrlPr>
          </m:sSubPr>
          <m:e>
            <m:r>
              <w:rPr>
                <w:rFonts w:ascii="Cambria Math" w:hAnsi="Cambria Math"/>
              </w:rPr>
              <m:t>ζ</m:t>
            </m:r>
          </m:e>
          <m:sub>
            <m:r>
              <w:rPr>
                <w:rFonts w:ascii="Cambria Math" w:hAnsi="Cambria Math"/>
              </w:rPr>
              <m:t>i</m:t>
            </m:r>
          </m:sub>
        </m:sSub>
      </m:oMath>
      <w:r w:rsidRPr="00B5401E">
        <w:t>, la metodología establece un sistema lineal de N funciones de descuento, una por cada bono cero cupón. Cada ecuación de este sistema representa el precio actual de un bono cero cupón teórico por unidad monetaria. De la siguiente forma:</w:t>
      </w:r>
    </w:p>
    <w:p w14:paraId="21B03EC9" w14:textId="77777777" w:rsidR="005B6ADF" w:rsidRPr="00595E21" w:rsidRDefault="005B6ADF" w:rsidP="005B6ADF">
      <w:pPr>
        <w:autoSpaceDE w:val="0"/>
        <w:autoSpaceDN w:val="0"/>
        <w:adjustRightInd w:val="0"/>
        <w:ind w:left="426"/>
        <w:rPr>
          <w:rFonts w:asciiTheme="majorHAnsi" w:hAnsiTheme="majorHAnsi" w:cstheme="minorHAnsi"/>
        </w:rPr>
      </w:pPr>
    </w:p>
    <w:p w14:paraId="016572F3" w14:textId="77777777" w:rsidR="005B6ADF" w:rsidRPr="00595E21" w:rsidRDefault="00A07579" w:rsidP="005B6ADF">
      <w:pPr>
        <w:ind w:left="426"/>
        <w:rPr>
          <w:rFonts w:asciiTheme="majorHAnsi" w:eastAsiaTheme="minorEastAsia" w:hAnsiTheme="majorHAnsi" w:cstheme="minorHAnsi"/>
        </w:rPr>
      </w:pPr>
      <m:oMathPara>
        <m:oMath>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1</m:t>
              </m:r>
            </m:sub>
          </m:sSub>
          <m:r>
            <w:rPr>
              <w:rFonts w:ascii="Cambria Math" w:hAnsi="Cambria Math" w:cstheme="minorHAnsi"/>
            </w:rPr>
            <m:t>=P</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1</m:t>
                  </m:r>
                </m:sub>
              </m:sSub>
            </m:e>
          </m:d>
          <m:r>
            <w:rPr>
              <w:rFonts w:ascii="Cambria Math" w:hAnsi="Cambria Math" w:cstheme="minorHAnsi"/>
            </w:rPr>
            <m:t xml:space="preserve">= </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-UFR*</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1</m:t>
                  </m:r>
                </m:sub>
              </m:sSub>
            </m:sup>
          </m:sSup>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m:t>
              </m:r>
            </m:sup>
            <m:e>
              <m:sSub>
                <m:sSubPr>
                  <m:ctrlPr>
                    <w:rPr>
                      <w:rFonts w:ascii="Cambria Math" w:hAnsi="Cambria Math" w:cstheme="minorHAnsi"/>
                      <w:i/>
                    </w:rPr>
                  </m:ctrlPr>
                </m:sSubPr>
                <m:e>
                  <m:r>
                    <w:rPr>
                      <w:rFonts w:ascii="Cambria Math" w:hAnsi="Cambria Math" w:cstheme="minorHAnsi"/>
                    </w:rPr>
                    <m:t>ζ</m:t>
                  </m:r>
                </m:e>
                <m:sub>
                  <m:r>
                    <w:rPr>
                      <w:rFonts w:ascii="Cambria Math" w:hAnsi="Cambria Math" w:cstheme="minorHAnsi"/>
                    </w:rPr>
                    <m:t>i</m:t>
                  </m:r>
                </m:sub>
              </m:sSub>
              <m:r>
                <w:rPr>
                  <w:rFonts w:ascii="Cambria Math" w:hAnsi="Cambria Math" w:cstheme="minorHAnsi"/>
                </w:rPr>
                <m:t>W</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1</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i</m:t>
                      </m:r>
                    </m:sub>
                  </m:sSub>
                </m:e>
              </m:d>
            </m:e>
          </m:nary>
        </m:oMath>
      </m:oMathPara>
    </w:p>
    <w:p w14:paraId="2BF78428" w14:textId="77777777" w:rsidR="005B6ADF" w:rsidRPr="00595E21" w:rsidRDefault="00A07579" w:rsidP="005B6ADF">
      <w:pPr>
        <w:ind w:left="426"/>
        <w:rPr>
          <w:rFonts w:asciiTheme="majorHAnsi" w:eastAsiaTheme="minorEastAsia" w:hAnsiTheme="majorHAnsi" w:cstheme="minorHAnsi"/>
        </w:rPr>
      </w:pPr>
      <m:oMathPara>
        <m:oMath>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2</m:t>
              </m:r>
            </m:sub>
          </m:sSub>
          <m:r>
            <w:rPr>
              <w:rFonts w:ascii="Cambria Math" w:hAnsi="Cambria Math" w:cstheme="minorHAnsi"/>
            </w:rPr>
            <m:t>=P</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2</m:t>
                  </m:r>
                </m:sub>
              </m:sSub>
            </m:e>
          </m:d>
          <m:r>
            <w:rPr>
              <w:rFonts w:ascii="Cambria Math" w:hAnsi="Cambria Math" w:cstheme="minorHAnsi"/>
            </w:rPr>
            <m:t xml:space="preserve">= </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-UFR*</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2</m:t>
                  </m:r>
                </m:sub>
              </m:sSub>
            </m:sup>
          </m:sSup>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m:t>
              </m:r>
            </m:sup>
            <m:e>
              <m:sSub>
                <m:sSubPr>
                  <m:ctrlPr>
                    <w:rPr>
                      <w:rFonts w:ascii="Cambria Math" w:hAnsi="Cambria Math" w:cstheme="minorHAnsi"/>
                      <w:i/>
                    </w:rPr>
                  </m:ctrlPr>
                </m:sSubPr>
                <m:e>
                  <m:r>
                    <w:rPr>
                      <w:rFonts w:ascii="Cambria Math" w:hAnsi="Cambria Math" w:cstheme="minorHAnsi"/>
                    </w:rPr>
                    <m:t>ζ</m:t>
                  </m:r>
                </m:e>
                <m:sub>
                  <m:r>
                    <w:rPr>
                      <w:rFonts w:ascii="Cambria Math" w:hAnsi="Cambria Math" w:cstheme="minorHAnsi"/>
                    </w:rPr>
                    <m:t>i</m:t>
                  </m:r>
                </m:sub>
              </m:sSub>
              <m:r>
                <w:rPr>
                  <w:rFonts w:ascii="Cambria Math" w:hAnsi="Cambria Math" w:cstheme="minorHAnsi"/>
                </w:rPr>
                <m:t>W</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2</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i</m:t>
                      </m:r>
                    </m:sub>
                  </m:sSub>
                </m:e>
              </m:d>
            </m:e>
          </m:nary>
        </m:oMath>
      </m:oMathPara>
    </w:p>
    <w:p w14:paraId="5195CEFE" w14:textId="77777777" w:rsidR="005B6ADF" w:rsidRPr="00595E21" w:rsidRDefault="005B6ADF" w:rsidP="005B6ADF">
      <w:pPr>
        <w:ind w:left="426"/>
        <w:rPr>
          <w:rFonts w:asciiTheme="majorHAnsi" w:eastAsiaTheme="minorEastAsia" w:hAnsiTheme="majorHAnsi" w:cstheme="minorHAnsi"/>
        </w:rPr>
      </w:pPr>
      <m:oMathPara>
        <m:oMath>
          <m:r>
            <w:rPr>
              <w:rFonts w:ascii="Cambria Math" w:hAnsi="Cambria Math" w:cstheme="minorHAnsi"/>
            </w:rPr>
            <m:t xml:space="preserve">………… </m:t>
          </m:r>
        </m:oMath>
      </m:oMathPara>
    </w:p>
    <w:p w14:paraId="7B32D128" w14:textId="77777777" w:rsidR="005B6ADF" w:rsidRPr="00595E21" w:rsidRDefault="00A07579" w:rsidP="005B6ADF">
      <w:pPr>
        <w:ind w:left="426"/>
        <w:rPr>
          <w:rFonts w:asciiTheme="majorHAnsi" w:eastAsiaTheme="minorEastAsia" w:hAnsiTheme="majorHAnsi" w:cstheme="minorHAnsi"/>
        </w:rPr>
      </w:pPr>
      <m:oMathPara>
        <m:oMath>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N</m:t>
              </m:r>
            </m:sub>
          </m:sSub>
          <m:r>
            <w:rPr>
              <w:rFonts w:ascii="Cambria Math" w:hAnsi="Cambria Math" w:cstheme="minorHAnsi"/>
            </w:rPr>
            <m:t>=P</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e>
          </m:d>
          <m:r>
            <w:rPr>
              <w:rFonts w:ascii="Cambria Math" w:hAnsi="Cambria Math" w:cstheme="minorHAnsi"/>
            </w:rPr>
            <m:t xml:space="preserve">= </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-UFR*</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sup>
          </m:sSup>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m:t>
              </m:r>
            </m:sup>
            <m:e>
              <m:sSub>
                <m:sSubPr>
                  <m:ctrlPr>
                    <w:rPr>
                      <w:rFonts w:ascii="Cambria Math" w:hAnsi="Cambria Math" w:cstheme="minorHAnsi"/>
                      <w:i/>
                    </w:rPr>
                  </m:ctrlPr>
                </m:sSubPr>
                <m:e>
                  <m:r>
                    <w:rPr>
                      <w:rFonts w:ascii="Cambria Math" w:hAnsi="Cambria Math" w:cstheme="minorHAnsi"/>
                    </w:rPr>
                    <m:t>ζ</m:t>
                  </m:r>
                </m:e>
                <m:sub>
                  <m:r>
                    <w:rPr>
                      <w:rFonts w:ascii="Cambria Math" w:hAnsi="Cambria Math" w:cstheme="minorHAnsi"/>
                    </w:rPr>
                    <m:t>i</m:t>
                  </m:r>
                </m:sub>
              </m:sSub>
              <m:r>
                <w:rPr>
                  <w:rFonts w:ascii="Cambria Math" w:hAnsi="Cambria Math" w:cstheme="minorHAnsi"/>
                </w:rPr>
                <m:t>W</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i</m:t>
                      </m:r>
                    </m:sub>
                  </m:sSub>
                </m:e>
              </m:d>
            </m:e>
          </m:nary>
        </m:oMath>
      </m:oMathPara>
    </w:p>
    <w:p w14:paraId="678EDCD2" w14:textId="77777777" w:rsidR="005B6ADF" w:rsidRPr="00595E21" w:rsidRDefault="005B6ADF" w:rsidP="005B6ADF">
      <w:pPr>
        <w:ind w:left="426"/>
        <w:rPr>
          <w:rFonts w:asciiTheme="majorHAnsi" w:eastAsiaTheme="minorEastAsia" w:hAnsiTheme="majorHAnsi" w:cstheme="minorHAnsi"/>
        </w:rPr>
      </w:pPr>
    </w:p>
    <w:p w14:paraId="6EBA56B4" w14:textId="77777777" w:rsidR="005B6ADF" w:rsidRPr="00B5401E" w:rsidRDefault="005B6ADF" w:rsidP="00B5401E">
      <w:r w:rsidRPr="00B5401E">
        <w:t xml:space="preserve">Donde </w:t>
      </w:r>
      <m:oMath>
        <m:sSub>
          <m:sSubPr>
            <m:ctrlPr>
              <w:rPr>
                <w:rFonts w:ascii="Cambria Math" w:hAnsi="Cambria Math"/>
              </w:rPr>
            </m:ctrlPr>
          </m:sSubPr>
          <m:e>
            <m:r>
              <w:rPr>
                <w:rFonts w:ascii="Cambria Math" w:hAnsi="Cambria Math"/>
              </w:rPr>
              <m:t>m</m:t>
            </m:r>
          </m:e>
          <m:sub>
            <m:r>
              <w:rPr>
                <w:rFonts w:ascii="Cambria Math" w:hAnsi="Cambria Math"/>
              </w:rPr>
              <m:t>i</m:t>
            </m:r>
          </m:sub>
        </m:sSub>
      </m:oMath>
      <w:r w:rsidRPr="00B5401E">
        <w:t xml:space="preserve"> es el precio de mercado conocido de un bono cero cupón teórico por unidad monetaria.</w:t>
      </w:r>
    </w:p>
    <w:p w14:paraId="7D9D1F3D" w14:textId="77777777" w:rsidR="005B6ADF" w:rsidRPr="00B5401E" w:rsidRDefault="005B6ADF" w:rsidP="00B5401E"/>
    <w:p w14:paraId="7B59BC91" w14:textId="77777777" w:rsidR="005B6ADF" w:rsidRPr="00B5401E" w:rsidRDefault="005B6ADF" w:rsidP="00B5401E">
      <w:r w:rsidRPr="00B5401E">
        <w:t>Este sistema se podría expresar de forma matricial de la siguiente manera:</w:t>
      </w:r>
    </w:p>
    <w:p w14:paraId="3CA3F353" w14:textId="77777777" w:rsidR="005B6ADF" w:rsidRPr="00595E21" w:rsidRDefault="005B6ADF" w:rsidP="005B6ADF">
      <w:pPr>
        <w:autoSpaceDE w:val="0"/>
        <w:autoSpaceDN w:val="0"/>
        <w:adjustRightInd w:val="0"/>
        <w:ind w:left="426"/>
        <w:rPr>
          <w:rFonts w:asciiTheme="majorHAnsi" w:hAnsiTheme="majorHAnsi" w:cs="Calibri"/>
        </w:rPr>
      </w:pPr>
    </w:p>
    <w:p w14:paraId="78BA7950" w14:textId="77777777" w:rsidR="005B6ADF" w:rsidRPr="00595E21" w:rsidRDefault="005B6ADF" w:rsidP="005B6ADF">
      <w:pPr>
        <w:autoSpaceDE w:val="0"/>
        <w:autoSpaceDN w:val="0"/>
        <w:adjustRightInd w:val="0"/>
        <w:ind w:left="426"/>
        <w:rPr>
          <w:rFonts w:asciiTheme="majorHAnsi" w:hAnsiTheme="majorHAnsi" w:cs="Calibri"/>
        </w:rPr>
      </w:pPr>
      <m:oMathPara>
        <m:oMath>
          <m:r>
            <w:rPr>
              <w:rFonts w:ascii="Cambria Math" w:hAnsi="Cambria Math" w:cs="Calibri"/>
            </w:rPr>
            <m:t>M=P=U+W*ζ</m:t>
          </m:r>
        </m:oMath>
      </m:oMathPara>
    </w:p>
    <w:p w14:paraId="24CCDAD0" w14:textId="77777777" w:rsidR="005B6ADF" w:rsidRPr="00595E21" w:rsidRDefault="005B6ADF" w:rsidP="005B6ADF">
      <w:pPr>
        <w:autoSpaceDE w:val="0"/>
        <w:autoSpaceDN w:val="0"/>
        <w:adjustRightInd w:val="0"/>
        <w:ind w:left="426"/>
        <w:rPr>
          <w:rFonts w:asciiTheme="majorHAnsi" w:hAnsiTheme="majorHAnsi" w:cs="Calibri"/>
        </w:rPr>
      </w:pPr>
    </w:p>
    <w:p w14:paraId="61F33501" w14:textId="77777777" w:rsidR="005B6ADF" w:rsidRPr="00595E21" w:rsidRDefault="005B6ADF" w:rsidP="005B6ADF">
      <w:pPr>
        <w:autoSpaceDE w:val="0"/>
        <w:autoSpaceDN w:val="0"/>
        <w:adjustRightInd w:val="0"/>
        <w:ind w:left="426"/>
        <w:rPr>
          <w:rFonts w:asciiTheme="majorHAnsi" w:hAnsiTheme="majorHAnsi" w:cs="Calibri"/>
        </w:rPr>
      </w:pPr>
      <w:r w:rsidRPr="00595E21">
        <w:rPr>
          <w:rFonts w:asciiTheme="majorHAnsi" w:hAnsiTheme="majorHAnsi" w:cs="Calibri"/>
        </w:rPr>
        <w:t>Donde</w:t>
      </w:r>
    </w:p>
    <w:p w14:paraId="4A45403A" w14:textId="77777777" w:rsidR="005B6ADF" w:rsidRPr="00595E21" w:rsidRDefault="005B6ADF" w:rsidP="005B6ADF">
      <w:pPr>
        <w:autoSpaceDE w:val="0"/>
        <w:autoSpaceDN w:val="0"/>
        <w:adjustRightInd w:val="0"/>
        <w:ind w:left="426"/>
        <w:rPr>
          <w:rFonts w:asciiTheme="majorHAnsi" w:hAnsiTheme="majorHAnsi" w:cs="Calibri"/>
        </w:rPr>
      </w:pPr>
    </w:p>
    <w:p w14:paraId="5DBDDB3E" w14:textId="77777777" w:rsidR="005B6ADF" w:rsidRPr="00595E21" w:rsidRDefault="005B6ADF" w:rsidP="005B6ADF">
      <w:pPr>
        <w:autoSpaceDE w:val="0"/>
        <w:autoSpaceDN w:val="0"/>
        <w:adjustRightInd w:val="0"/>
        <w:ind w:left="426"/>
        <w:rPr>
          <w:rFonts w:asciiTheme="majorHAnsi" w:eastAsiaTheme="minorEastAsia" w:hAnsiTheme="majorHAnsi" w:cs="Calibri"/>
        </w:rPr>
      </w:pPr>
      <w:r w:rsidRPr="00595E21">
        <w:rPr>
          <w:rFonts w:asciiTheme="majorHAnsi" w:hAnsiTheme="majorHAnsi" w:cs="Calibri"/>
        </w:rPr>
        <w:t>M: (</w:t>
      </w:r>
      <m:oMath>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2</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N</m:t>
            </m:r>
          </m:sub>
        </m:sSub>
        <m:r>
          <w:rPr>
            <w:rFonts w:ascii="Cambria Math" w:hAnsi="Cambria Math" w:cstheme="minorHAnsi"/>
          </w:rPr>
          <m:t>)</m:t>
        </m:r>
      </m:oMath>
    </w:p>
    <w:p w14:paraId="5790C21F" w14:textId="77777777" w:rsidR="005B6ADF" w:rsidRPr="00595E21" w:rsidRDefault="005B6ADF" w:rsidP="005B6ADF">
      <w:pPr>
        <w:autoSpaceDE w:val="0"/>
        <w:autoSpaceDN w:val="0"/>
        <w:adjustRightInd w:val="0"/>
        <w:ind w:left="426"/>
        <w:rPr>
          <w:rFonts w:asciiTheme="majorHAnsi" w:eastAsiaTheme="minorEastAsia" w:hAnsiTheme="majorHAnsi" w:cs="Calibri"/>
        </w:rPr>
      </w:pPr>
    </w:p>
    <w:p w14:paraId="67740EFA" w14:textId="77777777" w:rsidR="005B6ADF" w:rsidRPr="00595E21" w:rsidRDefault="005B6ADF" w:rsidP="005B6ADF">
      <w:pPr>
        <w:autoSpaceDE w:val="0"/>
        <w:autoSpaceDN w:val="0"/>
        <w:adjustRightInd w:val="0"/>
        <w:ind w:left="426"/>
        <w:rPr>
          <w:rFonts w:asciiTheme="majorHAnsi" w:eastAsiaTheme="minorEastAsia" w:hAnsiTheme="majorHAnsi" w:cs="Calibri"/>
        </w:rPr>
      </w:pPr>
      <w:r w:rsidRPr="00595E21">
        <w:rPr>
          <w:rFonts w:asciiTheme="majorHAnsi" w:eastAsiaTheme="minorEastAsia" w:hAnsiTheme="majorHAnsi" w:cs="Calibri"/>
        </w:rPr>
        <w:t>P: (</w:t>
      </w:r>
      <m:oMath>
        <m:r>
          <w:rPr>
            <w:rFonts w:ascii="Cambria Math" w:hAnsi="Cambria Math" w:cstheme="minorHAnsi"/>
          </w:rPr>
          <m:t>P</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1</m:t>
                </m:r>
              </m:sub>
            </m:sSub>
          </m:e>
        </m:d>
        <m:r>
          <w:rPr>
            <w:rFonts w:ascii="Cambria Math" w:hAnsi="Cambria Math" w:cstheme="minorHAnsi"/>
          </w:rPr>
          <m:t>, P</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2</m:t>
                </m:r>
              </m:sub>
            </m:sSub>
          </m:e>
        </m:d>
        <m:r>
          <w:rPr>
            <w:rFonts w:ascii="Cambria Math" w:hAnsi="Cambria Math" w:cstheme="minorHAnsi"/>
          </w:rPr>
          <m:t>, …, P</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e>
        </m:d>
      </m:oMath>
      <w:r w:rsidRPr="00595E21">
        <w:rPr>
          <w:rFonts w:asciiTheme="majorHAnsi" w:eastAsiaTheme="minorEastAsia" w:hAnsiTheme="majorHAnsi" w:cs="Calibri"/>
        </w:rPr>
        <w:t>)</w:t>
      </w:r>
    </w:p>
    <w:p w14:paraId="6A6F865A" w14:textId="77777777" w:rsidR="005B6ADF" w:rsidRPr="00595E21" w:rsidRDefault="005B6ADF" w:rsidP="005B6ADF">
      <w:pPr>
        <w:autoSpaceDE w:val="0"/>
        <w:autoSpaceDN w:val="0"/>
        <w:adjustRightInd w:val="0"/>
        <w:ind w:left="426" w:hanging="708"/>
        <w:rPr>
          <w:rFonts w:asciiTheme="majorHAnsi" w:eastAsiaTheme="minorEastAsia" w:hAnsiTheme="majorHAnsi" w:cs="Calibri"/>
        </w:rPr>
      </w:pPr>
    </w:p>
    <w:p w14:paraId="53821C5C" w14:textId="77777777" w:rsidR="005B6ADF" w:rsidRPr="00595E21" w:rsidRDefault="005B6ADF" w:rsidP="005B6ADF">
      <w:pPr>
        <w:autoSpaceDE w:val="0"/>
        <w:autoSpaceDN w:val="0"/>
        <w:adjustRightInd w:val="0"/>
        <w:ind w:left="426"/>
        <w:rPr>
          <w:rFonts w:asciiTheme="majorHAnsi" w:eastAsiaTheme="minorEastAsia" w:hAnsiTheme="majorHAnsi" w:cs="Calibri"/>
        </w:rPr>
      </w:pPr>
      <w:r w:rsidRPr="00595E21">
        <w:rPr>
          <w:rFonts w:asciiTheme="majorHAnsi" w:eastAsiaTheme="minorEastAsia" w:hAnsiTheme="majorHAnsi" w:cs="Calibri"/>
        </w:rPr>
        <w:t>U: (</w:t>
      </w:r>
      <m:oMath>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-UFR*</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1</m:t>
                </m:r>
              </m:sub>
            </m:sSub>
          </m:sup>
        </m:sSup>
        <m:r>
          <w:rPr>
            <w:rFonts w:ascii="Cambria Math" w:hAnsi="Cambria Math" w:cstheme="minorHAnsi"/>
          </w:rPr>
          <m:t xml:space="preserve">, </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-UFR*</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2</m:t>
                </m:r>
              </m:sub>
            </m:sSub>
          </m:sup>
        </m:sSup>
        <m:r>
          <w:rPr>
            <w:rFonts w:ascii="Cambria Math" w:hAnsi="Cambria Math" w:cstheme="minorHAnsi"/>
          </w:rPr>
          <m:t xml:space="preserve">,…, </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-UFR*</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sup>
        </m:sSup>
        <m:r>
          <w:rPr>
            <w:rFonts w:ascii="Cambria Math" w:hAnsi="Cambria Math" w:cstheme="minorHAnsi"/>
          </w:rPr>
          <m:t>)</m:t>
        </m:r>
      </m:oMath>
    </w:p>
    <w:p w14:paraId="4186E451" w14:textId="77777777" w:rsidR="005B6ADF" w:rsidRPr="00595E21" w:rsidRDefault="005B6ADF" w:rsidP="005B6ADF">
      <w:pPr>
        <w:autoSpaceDE w:val="0"/>
        <w:autoSpaceDN w:val="0"/>
        <w:adjustRightInd w:val="0"/>
        <w:ind w:left="426" w:hanging="708"/>
        <w:rPr>
          <w:rFonts w:asciiTheme="majorHAnsi" w:eastAsiaTheme="minorEastAsia" w:hAnsiTheme="majorHAnsi" w:cs="Calibri"/>
        </w:rPr>
      </w:pPr>
    </w:p>
    <w:p w14:paraId="6EF1CAAB" w14:textId="77777777" w:rsidR="005B6ADF" w:rsidRPr="00595E21" w:rsidRDefault="00A07579" w:rsidP="005B6ADF">
      <w:pPr>
        <w:autoSpaceDE w:val="0"/>
        <w:autoSpaceDN w:val="0"/>
        <w:adjustRightInd w:val="0"/>
        <w:ind w:left="426"/>
        <w:rPr>
          <w:rFonts w:asciiTheme="majorHAnsi" w:eastAsiaTheme="minorEastAsia" w:hAnsiTheme="majorHAnsi" w:cs="Calibri"/>
        </w:rPr>
      </w:pPr>
      <m:oMath>
        <m:sSub>
          <m:sSubPr>
            <m:ctrlPr>
              <w:rPr>
                <w:rFonts w:ascii="Cambria Math" w:hAnsi="Cambria Math" w:cstheme="minorHAnsi"/>
                <w:i/>
              </w:rPr>
            </m:ctrlPr>
          </m:sSubPr>
          <m:e>
            <m:r>
              <w:rPr>
                <w:rFonts w:ascii="Cambria Math" w:hAnsi="Cambria Math" w:cstheme="minorHAnsi"/>
              </w:rPr>
              <m:t>ζ</m:t>
            </m:r>
          </m:e>
          <m:sub>
            <m:r>
              <w:rPr>
                <w:rFonts w:ascii="Cambria Math" w:hAnsi="Cambria Math" w:cstheme="minorHAnsi"/>
              </w:rPr>
              <m:t>i</m:t>
            </m:r>
          </m:sub>
        </m:sSub>
      </m:oMath>
      <w:r w:rsidR="005B6ADF" w:rsidRPr="00595E21">
        <w:rPr>
          <w:rFonts w:asciiTheme="majorHAnsi" w:eastAsiaTheme="minorEastAsia" w:hAnsiTheme="majorHAnsi" w:cs="Calibri"/>
        </w:rPr>
        <w:t>: (</w:t>
      </w:r>
      <m:oMath>
        <m:sSub>
          <m:sSubPr>
            <m:ctrlPr>
              <w:rPr>
                <w:rFonts w:ascii="Cambria Math" w:hAnsi="Cambria Math" w:cstheme="minorHAnsi"/>
                <w:i/>
              </w:rPr>
            </m:ctrlPr>
          </m:sSubPr>
          <m:e>
            <m:r>
              <w:rPr>
                <w:rFonts w:ascii="Cambria Math" w:hAnsi="Cambria Math" w:cstheme="minorHAnsi"/>
              </w:rPr>
              <m:t>ζ</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ζ</m:t>
            </m:r>
          </m:e>
          <m:sub>
            <m:r>
              <w:rPr>
                <w:rFonts w:ascii="Cambria Math" w:hAnsi="Cambria Math" w:cstheme="minorHAnsi"/>
              </w:rPr>
              <m:t>2</m:t>
            </m:r>
          </m:sub>
        </m:sSub>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ζ</m:t>
            </m:r>
          </m:e>
          <m:sub>
            <m:r>
              <w:rPr>
                <w:rFonts w:ascii="Cambria Math" w:hAnsi="Cambria Math" w:cstheme="minorHAnsi"/>
              </w:rPr>
              <m:t>N</m:t>
            </m:r>
          </m:sub>
        </m:sSub>
      </m:oMath>
      <w:r w:rsidR="005B6ADF" w:rsidRPr="00595E21">
        <w:rPr>
          <w:rFonts w:asciiTheme="majorHAnsi" w:eastAsiaTheme="minorEastAsia" w:hAnsiTheme="majorHAnsi" w:cs="Calibri"/>
        </w:rPr>
        <w:t>)</w:t>
      </w:r>
    </w:p>
    <w:p w14:paraId="4CF8FAC1" w14:textId="77777777" w:rsidR="005B6ADF" w:rsidRPr="00595E21" w:rsidRDefault="005B6ADF" w:rsidP="005B6ADF">
      <w:pPr>
        <w:autoSpaceDE w:val="0"/>
        <w:autoSpaceDN w:val="0"/>
        <w:adjustRightInd w:val="0"/>
        <w:ind w:left="426" w:hanging="708"/>
        <w:rPr>
          <w:rFonts w:asciiTheme="majorHAnsi" w:eastAsiaTheme="minorEastAsia" w:hAnsiTheme="majorHAnsi" w:cs="Calibri"/>
        </w:rPr>
      </w:pPr>
    </w:p>
    <w:p w14:paraId="06B8A90A" w14:textId="77777777" w:rsidR="005B6ADF" w:rsidRPr="00595E21" w:rsidRDefault="005B6ADF" w:rsidP="005B6ADF">
      <w:pPr>
        <w:autoSpaceDE w:val="0"/>
        <w:autoSpaceDN w:val="0"/>
        <w:adjustRightInd w:val="0"/>
        <w:ind w:left="426"/>
        <w:rPr>
          <w:rFonts w:asciiTheme="majorHAnsi" w:eastAsiaTheme="minorEastAsia" w:hAnsiTheme="majorHAnsi" w:cs="Calibri"/>
        </w:rPr>
      </w:pPr>
      <m:oMath>
        <m:r>
          <w:rPr>
            <w:rFonts w:ascii="Cambria Math" w:hAnsi="Cambria Math" w:cstheme="minorHAnsi"/>
          </w:rPr>
          <m:t>W</m:t>
        </m:r>
      </m:oMath>
      <w:r w:rsidRPr="00595E21">
        <w:rPr>
          <w:rFonts w:asciiTheme="majorHAnsi" w:hAnsiTheme="majorHAnsi" w:cstheme="minorHAnsi"/>
        </w:rPr>
        <w:t>:</w:t>
      </w:r>
      <w:r w:rsidRPr="00595E21">
        <w:rPr>
          <w:rFonts w:asciiTheme="majorHAnsi" w:eastAsiaTheme="minorEastAsia" w:hAnsiTheme="majorHAnsi" w:cs="Calibri"/>
        </w:rPr>
        <w:t xml:space="preserve"> </w:t>
      </w:r>
      <m:oMath>
        <m:d>
          <m:dPr>
            <m:begChr m:val="["/>
            <m:endChr m:val="]"/>
            <m:ctrlPr>
              <w:rPr>
                <w:rFonts w:ascii="Cambria Math" w:eastAsiaTheme="minorEastAsia" w:hAnsi="Cambria Math" w:cs="Calibri"/>
                <w:i/>
              </w:rPr>
            </m:ctrlPr>
          </m:dPr>
          <m:e>
            <m:m>
              <m:mPr>
                <m:mcs>
                  <m:mc>
                    <m:mcPr>
                      <m:count m:val="2"/>
                      <m:mcJc m:val="center"/>
                    </m:mcPr>
                  </m:mc>
                </m:mcs>
                <m:ctrlPr>
                  <w:rPr>
                    <w:rFonts w:ascii="Cambria Math" w:eastAsiaTheme="minorEastAsia" w:hAnsi="Cambria Math" w:cs="Calibri"/>
                    <w:i/>
                  </w:rPr>
                </m:ctrlPr>
              </m:mPr>
              <m:mr>
                <m:e>
                  <m:r>
                    <w:rPr>
                      <w:rFonts w:ascii="Cambria Math" w:hAnsi="Cambria Math" w:cstheme="minorHAnsi"/>
                    </w:rPr>
                    <m:t>W</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1</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i</m:t>
                          </m:r>
                        </m:sub>
                      </m:sSub>
                    </m:e>
                  </m:d>
                </m:e>
                <m:e>
                  <m:r>
                    <w:rPr>
                      <w:rFonts w:ascii="Cambria Math" w:hAnsi="Cambria Math" w:cstheme="minorHAnsi"/>
                    </w:rPr>
                    <m:t>W</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1</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e>
                  </m:d>
                </m:e>
              </m:mr>
              <m:mr>
                <m:e>
                  <m:r>
                    <w:rPr>
                      <w:rFonts w:ascii="Cambria Math" w:hAnsi="Cambria Math" w:cstheme="minorHAnsi"/>
                    </w:rPr>
                    <m:t>W</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i</m:t>
                          </m:r>
                        </m:sub>
                      </m:sSub>
                    </m:e>
                  </m:d>
                </m:e>
                <m:e>
                  <m:r>
                    <w:rPr>
                      <w:rFonts w:ascii="Cambria Math" w:hAnsi="Cambria Math" w:cstheme="minorHAnsi"/>
                    </w:rPr>
                    <m:t>W</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e>
                  </m:d>
                </m:e>
              </m:mr>
            </m:m>
          </m:e>
        </m:d>
      </m:oMath>
    </w:p>
    <w:p w14:paraId="75399FD3" w14:textId="77777777" w:rsidR="005B6ADF" w:rsidRPr="00595E21" w:rsidRDefault="005B6ADF" w:rsidP="005B6ADF">
      <w:pPr>
        <w:ind w:left="426"/>
        <w:rPr>
          <w:rFonts w:asciiTheme="majorHAnsi" w:hAnsiTheme="majorHAnsi"/>
          <w:color w:val="000000"/>
        </w:rPr>
      </w:pPr>
    </w:p>
    <w:p w14:paraId="3EB54E86" w14:textId="77777777" w:rsidR="005B6ADF" w:rsidRPr="00B5401E" w:rsidRDefault="005B6ADF" w:rsidP="00B5401E"/>
    <w:p w14:paraId="4C9241AC" w14:textId="77777777" w:rsidR="005B6ADF" w:rsidRPr="00B5401E" w:rsidRDefault="005B6ADF" w:rsidP="00B5401E">
      <w:r w:rsidRPr="00B5401E">
        <w:t xml:space="preserve">Para obtenerla, el vector </w:t>
      </w:r>
      <m:oMath>
        <m:sSub>
          <m:sSubPr>
            <m:ctrlPr>
              <w:rPr>
                <w:rFonts w:ascii="Cambria Math" w:hAnsi="Cambria Math"/>
              </w:rPr>
            </m:ctrlPr>
          </m:sSubPr>
          <m:e>
            <m:r>
              <w:rPr>
                <w:rFonts w:ascii="Cambria Math" w:hAnsi="Cambria Math"/>
              </w:rPr>
              <m:t>ζ</m:t>
            </m:r>
          </m:e>
          <m:sub>
            <m:r>
              <w:rPr>
                <w:rFonts w:ascii="Cambria Math" w:hAnsi="Cambria Math"/>
              </w:rPr>
              <m:t>i</m:t>
            </m:r>
          </m:sub>
        </m:sSub>
      </m:oMath>
      <w:r w:rsidRPr="00B5401E">
        <w:t xml:space="preserve"> se invierte la matriz de funciones simétricas Wilson y se multiplica por la resta del vector de precios y el vector de términos asintóticos, como sigue:</w:t>
      </w:r>
    </w:p>
    <w:p w14:paraId="21EE38E8" w14:textId="77777777" w:rsidR="005B6ADF" w:rsidRPr="00B5401E" w:rsidRDefault="005B6ADF" w:rsidP="00B5401E"/>
    <w:p w14:paraId="4B09D274" w14:textId="77777777" w:rsidR="005B6ADF" w:rsidRPr="00595E21" w:rsidRDefault="005B6ADF" w:rsidP="005B6ADF">
      <w:pPr>
        <w:autoSpaceDE w:val="0"/>
        <w:autoSpaceDN w:val="0"/>
        <w:adjustRightInd w:val="0"/>
        <w:ind w:left="426"/>
        <w:rPr>
          <w:rFonts w:asciiTheme="majorHAnsi" w:hAnsiTheme="majorHAnsi" w:cs="Calibri"/>
        </w:rPr>
      </w:pPr>
      <m:oMathPara>
        <m:oMath>
          <m:r>
            <w:rPr>
              <w:rFonts w:ascii="Cambria Math" w:hAnsi="Cambria Math" w:cs="Calibri"/>
            </w:rPr>
            <m:t>ζ=</m:t>
          </m:r>
          <m:sSup>
            <m:sSupPr>
              <m:ctrlPr>
                <w:rPr>
                  <w:rFonts w:ascii="Cambria Math" w:hAnsi="Cambria Math" w:cs="Calibri"/>
                  <w:i/>
                </w:rPr>
              </m:ctrlPr>
            </m:sSupPr>
            <m:e>
              <m:r>
                <w:rPr>
                  <w:rFonts w:ascii="Cambria Math" w:hAnsi="Cambria Math" w:cs="Calibri"/>
                </w:rPr>
                <m:t>W</m:t>
              </m:r>
            </m:e>
            <m:sup>
              <m:r>
                <w:rPr>
                  <w:rFonts w:ascii="Cambria Math" w:hAnsi="Cambria Math" w:cs="Calibri"/>
                </w:rPr>
                <m:t>-1</m:t>
              </m:r>
            </m:sup>
          </m:sSup>
          <m:d>
            <m:dPr>
              <m:ctrlPr>
                <w:rPr>
                  <w:rFonts w:ascii="Cambria Math" w:hAnsi="Cambria Math" w:cs="Calibri"/>
                  <w:i/>
                </w:rPr>
              </m:ctrlPr>
            </m:dPr>
            <m:e>
              <m:r>
                <w:rPr>
                  <w:rFonts w:ascii="Cambria Math" w:hAnsi="Cambria Math" w:cs="Calibri"/>
                </w:rPr>
                <m:t>M-U</m:t>
              </m:r>
            </m:e>
          </m:d>
        </m:oMath>
      </m:oMathPara>
    </w:p>
    <w:p w14:paraId="52DB927E" w14:textId="77777777" w:rsidR="005B6ADF" w:rsidRPr="00595E21" w:rsidRDefault="005B6ADF" w:rsidP="005B6ADF">
      <w:pPr>
        <w:rPr>
          <w:rFonts w:asciiTheme="majorHAnsi" w:hAnsiTheme="majorHAnsi"/>
          <w:color w:val="000000"/>
        </w:rPr>
      </w:pPr>
    </w:p>
    <w:p w14:paraId="4C8FCA42" w14:textId="77777777" w:rsidR="005B6ADF" w:rsidRPr="00B5401E" w:rsidRDefault="005B6ADF" w:rsidP="00B5401E">
      <w:r w:rsidRPr="00B5401E">
        <w:t>O lo que es lo mismo</w:t>
      </w:r>
    </w:p>
    <w:p w14:paraId="434F21B0" w14:textId="77777777" w:rsidR="005B6ADF" w:rsidRPr="00595E21" w:rsidRDefault="005B6ADF" w:rsidP="005B6ADF">
      <w:pPr>
        <w:autoSpaceDE w:val="0"/>
        <w:autoSpaceDN w:val="0"/>
        <w:adjustRightInd w:val="0"/>
        <w:ind w:left="426"/>
        <w:rPr>
          <w:rFonts w:asciiTheme="majorHAnsi" w:eastAsiaTheme="minorEastAsia" w:hAnsiTheme="majorHAnsi" w:cs="Calibri"/>
        </w:rPr>
      </w:pPr>
    </w:p>
    <w:p w14:paraId="4DCC435D" w14:textId="77777777" w:rsidR="005B6ADF" w:rsidRPr="00595E21" w:rsidRDefault="005B6ADF" w:rsidP="005B6ADF">
      <w:pPr>
        <w:autoSpaceDE w:val="0"/>
        <w:autoSpaceDN w:val="0"/>
        <w:adjustRightInd w:val="0"/>
        <w:ind w:left="426"/>
        <w:rPr>
          <w:rFonts w:asciiTheme="majorHAnsi" w:eastAsiaTheme="minorEastAsia" w:hAnsiTheme="majorHAnsi" w:cs="Calibri"/>
        </w:rPr>
      </w:pPr>
      <m:oMathPara>
        <m:oMath>
          <m:r>
            <w:rPr>
              <w:rFonts w:ascii="Cambria Math" w:hAnsi="Cambria Math" w:cs="Calibri"/>
            </w:rPr>
            <m:t>ζ=</m:t>
          </m:r>
          <m:sSup>
            <m:sSupPr>
              <m:ctrlPr>
                <w:rPr>
                  <w:rFonts w:ascii="Cambria Math" w:hAnsi="Cambria Math" w:cs="Calibri"/>
                  <w:i/>
                </w:rPr>
              </m:ctrlPr>
            </m:sSupPr>
            <m:e>
              <m:r>
                <w:rPr>
                  <w:rFonts w:ascii="Cambria Math" w:hAnsi="Cambria Math" w:cs="Calibri"/>
                </w:rPr>
                <m:t>W</m:t>
              </m:r>
            </m:e>
            <m:sup>
              <m:r>
                <w:rPr>
                  <w:rFonts w:ascii="Cambria Math" w:hAnsi="Cambria Math" w:cs="Calibri"/>
                </w:rPr>
                <m:t>-1</m:t>
              </m:r>
            </m:sup>
          </m:sSup>
          <m:r>
            <w:rPr>
              <w:rFonts w:ascii="Cambria Math" w:hAnsi="Cambria Math" w:cs="Calibri"/>
            </w:rPr>
            <m:t>(P-U)</m:t>
          </m:r>
        </m:oMath>
      </m:oMathPara>
    </w:p>
    <w:p w14:paraId="30412C3D" w14:textId="77777777" w:rsidR="005B6ADF" w:rsidRPr="00595E21" w:rsidRDefault="005B6ADF" w:rsidP="005B6ADF">
      <w:pPr>
        <w:ind w:left="426"/>
        <w:rPr>
          <w:rFonts w:asciiTheme="majorHAnsi" w:hAnsiTheme="majorHAnsi"/>
          <w:color w:val="000000"/>
        </w:rPr>
      </w:pPr>
    </w:p>
    <w:p w14:paraId="4F4AF7C0" w14:textId="4D23538D" w:rsidR="005B6ADF" w:rsidRPr="00B5401E" w:rsidRDefault="005B6ADF" w:rsidP="00B5401E">
      <w:r w:rsidRPr="00B5401E">
        <w:t xml:space="preserve">Una vez calculado el vector de </w:t>
      </w:r>
      <m:oMath>
        <m:sSub>
          <m:sSubPr>
            <m:ctrlPr>
              <w:rPr>
                <w:rFonts w:ascii="Cambria Math" w:hAnsi="Cambria Math"/>
              </w:rPr>
            </m:ctrlPr>
          </m:sSubPr>
          <m:e>
            <m:r>
              <w:rPr>
                <w:rFonts w:ascii="Cambria Math" w:hAnsi="Cambria Math"/>
              </w:rPr>
              <m:t>ζ</m:t>
            </m:r>
          </m:e>
          <m:sub>
            <m:r>
              <w:rPr>
                <w:rFonts w:ascii="Cambria Math" w:hAnsi="Cambria Math"/>
              </w:rPr>
              <m:t>i</m:t>
            </m:r>
          </m:sub>
        </m:sSub>
      </m:oMath>
      <w:r w:rsidRPr="00B5401E">
        <w:t xml:space="preserve"> se pueden obtener los precios de los bonos ceros cupón para todos los vencimientos deseados utilizando la ecuación previamente mencionada:</w:t>
      </w:r>
    </w:p>
    <w:p w14:paraId="0A0F678E" w14:textId="77777777" w:rsidR="005B6ADF" w:rsidRPr="00B5401E" w:rsidRDefault="005B6ADF" w:rsidP="00B5401E"/>
    <w:p w14:paraId="0C046E28" w14:textId="77777777" w:rsidR="005B6ADF" w:rsidRPr="00595E21" w:rsidRDefault="005B6ADF" w:rsidP="005B6ADF">
      <w:pPr>
        <w:ind w:left="426"/>
        <w:rPr>
          <w:rFonts w:asciiTheme="majorHAnsi" w:hAnsiTheme="majorHAnsi"/>
          <w:color w:val="000000"/>
        </w:rPr>
      </w:pPr>
      <m:oMathPara>
        <m:oMath>
          <m:r>
            <w:rPr>
              <w:rFonts w:ascii="Cambria Math" w:hAnsi="Cambria Math" w:cstheme="minorHAnsi"/>
            </w:rPr>
            <m:t>P</m:t>
          </m:r>
          <m:d>
            <m:dPr>
              <m:ctrlPr>
                <w:rPr>
                  <w:rFonts w:ascii="Cambria Math" w:hAnsi="Cambria Math" w:cstheme="minorHAnsi"/>
                  <w:i/>
                </w:rPr>
              </m:ctrlPr>
            </m:dPr>
            <m:e>
              <m:r>
                <w:rPr>
                  <w:rFonts w:ascii="Cambria Math" w:hAnsi="Cambria Math" w:cstheme="minorHAnsi"/>
                </w:rPr>
                <m:t>t</m:t>
              </m:r>
            </m:e>
          </m:d>
          <m:r>
            <w:rPr>
              <w:rFonts w:ascii="Cambria Math" w:hAnsi="Cambria Math" w:cstheme="minorHAnsi"/>
            </w:rPr>
            <m:t xml:space="preserve">= </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-UFR*t</m:t>
              </m:r>
            </m:sup>
          </m:sSup>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m:t>
              </m:r>
            </m:sup>
            <m:e>
              <m:sSub>
                <m:sSubPr>
                  <m:ctrlPr>
                    <w:rPr>
                      <w:rFonts w:ascii="Cambria Math" w:hAnsi="Cambria Math" w:cstheme="minorHAnsi"/>
                      <w:i/>
                    </w:rPr>
                  </m:ctrlPr>
                </m:sSubPr>
                <m:e>
                  <m:r>
                    <w:rPr>
                      <w:rFonts w:ascii="Cambria Math" w:hAnsi="Cambria Math" w:cstheme="minorHAnsi"/>
                    </w:rPr>
                    <m:t>ζ</m:t>
                  </m:r>
                </m:e>
                <m:sub>
                  <m:r>
                    <w:rPr>
                      <w:rFonts w:ascii="Cambria Math" w:hAnsi="Cambria Math" w:cstheme="minorHAnsi"/>
                    </w:rPr>
                    <m:t>i</m:t>
                  </m:r>
                </m:sub>
              </m:sSub>
              <m:r>
                <w:rPr>
                  <w:rFonts w:ascii="Cambria Math" w:hAnsi="Cambria Math" w:cstheme="minorHAnsi"/>
                </w:rPr>
                <m:t>W</m:t>
              </m:r>
              <m:d>
                <m:dPr>
                  <m:ctrlPr>
                    <w:rPr>
                      <w:rFonts w:ascii="Cambria Math" w:hAnsi="Cambria Math" w:cstheme="minorHAnsi"/>
                      <w:i/>
                    </w:rPr>
                  </m:ctrlPr>
                </m:dPr>
                <m:e>
                  <m:r>
                    <w:rPr>
                      <w:rFonts w:ascii="Cambria Math" w:hAnsi="Cambria Math" w:cstheme="minorHAnsi"/>
                    </w:rPr>
                    <m:t xml:space="preserve">t, </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i</m:t>
                      </m:r>
                    </m:sub>
                  </m:sSub>
                </m:e>
              </m:d>
              <m:r>
                <w:rPr>
                  <w:rFonts w:ascii="Cambria Math" w:hAnsi="Cambria Math" w:cstheme="minorHAnsi"/>
                </w:rPr>
                <m:t xml:space="preserve">    con t≥0</m:t>
              </m:r>
            </m:e>
          </m:nary>
        </m:oMath>
      </m:oMathPara>
    </w:p>
    <w:p w14:paraId="2102B785" w14:textId="77777777" w:rsidR="005B6ADF" w:rsidRPr="00595E21" w:rsidRDefault="005B6ADF" w:rsidP="005B6ADF">
      <w:pPr>
        <w:autoSpaceDE w:val="0"/>
        <w:autoSpaceDN w:val="0"/>
        <w:adjustRightInd w:val="0"/>
        <w:rPr>
          <w:rFonts w:asciiTheme="majorHAnsi" w:eastAsiaTheme="minorEastAsia" w:hAnsiTheme="majorHAnsi" w:cs="Calibri"/>
        </w:rPr>
      </w:pPr>
    </w:p>
    <w:p w14:paraId="00472BA2" w14:textId="77777777" w:rsidR="005B6ADF" w:rsidRPr="00B5401E" w:rsidRDefault="005B6ADF" w:rsidP="00B5401E">
      <w:r w:rsidRPr="00B5401E">
        <w:t>Con los precios calculados para un bono cero cupón teórico por unidad monetaria, se procede a determinar los valores de tipo de interés que van a componer la ETTI. Para obtener el tipo de interés al contado continuo de Smith Wilson se utiliza la siguiente fórmula:</w:t>
      </w:r>
    </w:p>
    <w:p w14:paraId="45618FD0" w14:textId="77777777" w:rsidR="005B6ADF" w:rsidRPr="00B5401E" w:rsidRDefault="005B6ADF" w:rsidP="00B5401E"/>
    <w:p w14:paraId="4AD6ED9D" w14:textId="77777777" w:rsidR="005B6ADF" w:rsidRPr="00595E21" w:rsidRDefault="00A07579" w:rsidP="005B6ADF">
      <w:pPr>
        <w:autoSpaceDE w:val="0"/>
        <w:autoSpaceDN w:val="0"/>
        <w:adjustRightInd w:val="0"/>
        <w:ind w:left="426"/>
        <w:rPr>
          <w:rFonts w:asciiTheme="majorHAnsi" w:eastAsiaTheme="minorEastAsia" w:hAnsiTheme="majorHAnsi" w:cs="Calibri"/>
        </w:rPr>
      </w:pPr>
      <m:oMathPara>
        <m:oMath>
          <m:sSub>
            <m:sSubPr>
              <m:ctrlPr>
                <w:rPr>
                  <w:rFonts w:ascii="Cambria Math" w:eastAsiaTheme="minorEastAsia" w:hAnsi="Cambria Math" w:cs="Calibri"/>
                  <w:i/>
                </w:rPr>
              </m:ctrlPr>
            </m:sSubPr>
            <m:e>
              <m:acc>
                <m:accPr>
                  <m:chr m:val="̃"/>
                  <m:ctrlPr>
                    <w:rPr>
                      <w:rFonts w:ascii="Cambria Math" w:eastAsiaTheme="minorEastAsia" w:hAnsi="Cambria Math" w:cs="Calibri"/>
                      <w:i/>
                    </w:rPr>
                  </m:ctrlPr>
                </m:accPr>
                <m:e>
                  <m:r>
                    <w:rPr>
                      <w:rFonts w:ascii="Cambria Math" w:eastAsiaTheme="minorEastAsia" w:hAnsi="Cambria Math" w:cs="Calibri"/>
                    </w:rPr>
                    <m:t>r</m:t>
                  </m:r>
                </m:e>
              </m:acc>
            </m:e>
            <m:sub>
              <m:r>
                <w:rPr>
                  <w:rFonts w:ascii="Cambria Math" w:eastAsiaTheme="minorEastAsia" w:hAnsi="Cambria Math" w:cs="Calibri"/>
                </w:rPr>
                <m:t>t</m:t>
              </m:r>
            </m:sub>
          </m:sSub>
          <m:r>
            <w:rPr>
              <w:rFonts w:ascii="Cambria Math" w:eastAsiaTheme="minorEastAsia" w:hAnsi="Cambria Math" w:cs="Calibri"/>
            </w:rPr>
            <m:t>=</m:t>
          </m:r>
          <m:f>
            <m:fPr>
              <m:ctrlPr>
                <w:rPr>
                  <w:rFonts w:ascii="Cambria Math" w:eastAsiaTheme="minorEastAsia" w:hAnsi="Cambria Math" w:cs="Calibri"/>
                  <w:i/>
                </w:rPr>
              </m:ctrlPr>
            </m:fPr>
            <m:num>
              <m:r>
                <m:rPr>
                  <m:sty m:val="p"/>
                </m:rPr>
                <w:rPr>
                  <w:rFonts w:ascii="Cambria Math" w:eastAsiaTheme="minorEastAsia" w:hAnsi="Cambria Math" w:cs="Calibri"/>
                </w:rPr>
                <m:t>ln⁡</m:t>
              </m:r>
              <m:r>
                <w:rPr>
                  <w:rFonts w:ascii="Cambria Math" w:eastAsiaTheme="minorEastAsia" w:hAnsi="Cambria Math" w:cs="Calibri"/>
                </w:rPr>
                <m:t>(</m:t>
              </m:r>
              <m:f>
                <m:fPr>
                  <m:ctrlPr>
                    <w:rPr>
                      <w:rFonts w:ascii="Cambria Math" w:eastAsiaTheme="minorEastAsia" w:hAnsi="Cambria Math" w:cs="Calibri"/>
                      <w:i/>
                    </w:rPr>
                  </m:ctrlPr>
                </m:fPr>
                <m:num>
                  <m:r>
                    <w:rPr>
                      <w:rFonts w:ascii="Cambria Math" w:eastAsiaTheme="minorEastAsia" w:hAnsi="Cambria Math" w:cs="Calibri"/>
                    </w:rPr>
                    <m:t>1</m:t>
                  </m:r>
                </m:num>
                <m:den>
                  <m:r>
                    <w:rPr>
                      <w:rFonts w:ascii="Cambria Math" w:eastAsiaTheme="minorEastAsia" w:hAnsi="Cambria Math" w:cs="Calibri"/>
                    </w:rPr>
                    <m:t>P(t)</m:t>
                  </m:r>
                </m:den>
              </m:f>
              <m:r>
                <w:rPr>
                  <w:rFonts w:ascii="Cambria Math" w:eastAsiaTheme="minorEastAsia" w:hAnsi="Cambria Math" w:cs="Calibri"/>
                </w:rPr>
                <m:t>)</m:t>
              </m:r>
            </m:num>
            <m:den>
              <m:r>
                <w:rPr>
                  <w:rFonts w:ascii="Cambria Math" w:eastAsiaTheme="minorEastAsia" w:hAnsi="Cambria Math" w:cs="Calibri"/>
                </w:rPr>
                <m:t>t</m:t>
              </m:r>
            </m:den>
          </m:f>
        </m:oMath>
      </m:oMathPara>
    </w:p>
    <w:p w14:paraId="32667A1A" w14:textId="77777777" w:rsidR="005B6ADF" w:rsidRPr="00595E21" w:rsidRDefault="005B6ADF" w:rsidP="005B6ADF">
      <w:pPr>
        <w:autoSpaceDE w:val="0"/>
        <w:autoSpaceDN w:val="0"/>
        <w:adjustRightInd w:val="0"/>
        <w:ind w:left="426"/>
        <w:rPr>
          <w:rFonts w:asciiTheme="majorHAnsi" w:eastAsiaTheme="minorEastAsia" w:hAnsiTheme="majorHAnsi" w:cs="Calibri"/>
        </w:rPr>
      </w:pPr>
    </w:p>
    <w:p w14:paraId="2066F7A9" w14:textId="77777777" w:rsidR="005B6ADF" w:rsidRPr="00B5401E" w:rsidRDefault="005B6ADF" w:rsidP="00B5401E">
      <w:r w:rsidRPr="00B5401E">
        <w:t>Usando el resultado anterior, se puede calcular el tipo de interés contado discreto de la siguiente forma:</w:t>
      </w:r>
    </w:p>
    <w:p w14:paraId="2937DB6C" w14:textId="77777777" w:rsidR="005B6ADF" w:rsidRPr="00595E21" w:rsidRDefault="00A07579" w:rsidP="005B6ADF">
      <w:pPr>
        <w:autoSpaceDE w:val="0"/>
        <w:autoSpaceDN w:val="0"/>
        <w:adjustRightInd w:val="0"/>
        <w:ind w:left="426"/>
        <w:rPr>
          <w:rFonts w:asciiTheme="majorHAnsi" w:eastAsiaTheme="minorEastAsia" w:hAnsiTheme="majorHAnsi" w:cs="Calibri"/>
        </w:rPr>
      </w:pPr>
      <m:oMathPara>
        <m:oMath>
          <m:sSub>
            <m:sSubPr>
              <m:ctrlPr>
                <w:rPr>
                  <w:rFonts w:ascii="Cambria Math" w:eastAsiaTheme="minorEastAsia" w:hAnsi="Cambria Math" w:cs="Calibri"/>
                  <w:i/>
                </w:rPr>
              </m:ctrlPr>
            </m:sSubPr>
            <m:e>
              <m:r>
                <w:rPr>
                  <w:rFonts w:ascii="Cambria Math" w:eastAsiaTheme="minorEastAsia" w:hAnsi="Cambria Math" w:cs="Calibri"/>
                </w:rPr>
                <m:t>r</m:t>
              </m:r>
            </m:e>
            <m:sub>
              <m:r>
                <w:rPr>
                  <w:rFonts w:ascii="Cambria Math" w:eastAsiaTheme="minorEastAsia" w:hAnsi="Cambria Math" w:cs="Calibri"/>
                </w:rPr>
                <m:t>t</m:t>
              </m:r>
            </m:sub>
          </m:sSub>
          <m:r>
            <w:rPr>
              <w:rFonts w:ascii="Cambria Math" w:eastAsiaTheme="minorEastAsia" w:hAnsi="Cambria Math" w:cs="Calibri"/>
            </w:rPr>
            <m:t>=</m:t>
          </m:r>
          <m:sSup>
            <m:sSupPr>
              <m:ctrlPr>
                <w:rPr>
                  <w:rFonts w:ascii="Cambria Math" w:eastAsiaTheme="minorEastAsia" w:hAnsi="Cambria Math" w:cs="Calibri"/>
                  <w:i/>
                </w:rPr>
              </m:ctrlPr>
            </m:sSupPr>
            <m:e>
              <m:r>
                <w:rPr>
                  <w:rFonts w:ascii="Cambria Math" w:eastAsiaTheme="minorEastAsia" w:hAnsi="Cambria Math" w:cs="Calibri"/>
                </w:rPr>
                <m:t>e</m:t>
              </m:r>
            </m:e>
            <m:sup>
              <m:sSub>
                <m:sSubPr>
                  <m:ctrlPr>
                    <w:rPr>
                      <w:rFonts w:ascii="Cambria Math" w:eastAsiaTheme="minorEastAsia" w:hAnsi="Cambria Math" w:cs="Calibri"/>
                      <w:i/>
                    </w:rPr>
                  </m:ctrlPr>
                </m:sSubPr>
                <m:e>
                  <m:acc>
                    <m:accPr>
                      <m:chr m:val="̃"/>
                      <m:ctrlPr>
                        <w:rPr>
                          <w:rFonts w:ascii="Cambria Math" w:eastAsiaTheme="minorEastAsia" w:hAnsi="Cambria Math" w:cs="Calibri"/>
                          <w:i/>
                        </w:rPr>
                      </m:ctrlPr>
                    </m:accPr>
                    <m:e>
                      <m:r>
                        <w:rPr>
                          <w:rFonts w:ascii="Cambria Math" w:eastAsiaTheme="minorEastAsia" w:hAnsi="Cambria Math" w:cs="Calibri"/>
                        </w:rPr>
                        <m:t>r</m:t>
                      </m:r>
                    </m:e>
                  </m:acc>
                </m:e>
                <m:sub>
                  <m:r>
                    <w:rPr>
                      <w:rFonts w:ascii="Cambria Math" w:eastAsiaTheme="minorEastAsia" w:hAnsi="Cambria Math" w:cs="Calibri"/>
                    </w:rPr>
                    <m:t>t</m:t>
                  </m:r>
                </m:sub>
              </m:sSub>
            </m:sup>
          </m:sSup>
          <m:r>
            <w:rPr>
              <w:rFonts w:ascii="Cambria Math" w:eastAsiaTheme="minorEastAsia" w:hAnsi="Cambria Math" w:cs="Calibri"/>
            </w:rPr>
            <m:t>-1</m:t>
          </m:r>
        </m:oMath>
      </m:oMathPara>
    </w:p>
    <w:p w14:paraId="5EE98D95" w14:textId="77777777" w:rsidR="005B6ADF" w:rsidRPr="00595E21" w:rsidRDefault="005B6ADF" w:rsidP="005B6ADF">
      <w:pPr>
        <w:autoSpaceDE w:val="0"/>
        <w:autoSpaceDN w:val="0"/>
        <w:adjustRightInd w:val="0"/>
        <w:ind w:left="426"/>
        <w:rPr>
          <w:rFonts w:asciiTheme="majorHAnsi" w:eastAsiaTheme="minorEastAsia" w:hAnsiTheme="majorHAnsi" w:cs="Calibri"/>
        </w:rPr>
      </w:pPr>
    </w:p>
    <w:p w14:paraId="40E974AE" w14:textId="77777777" w:rsidR="005B6ADF" w:rsidRPr="00595E21" w:rsidRDefault="005B6ADF" w:rsidP="005B6ADF">
      <w:pPr>
        <w:rPr>
          <w:rFonts w:asciiTheme="majorHAnsi" w:hAnsiTheme="majorHAnsi"/>
          <w:color w:val="000000"/>
        </w:rPr>
      </w:pPr>
    </w:p>
    <w:p w14:paraId="572E1219" w14:textId="77777777" w:rsidR="005B6ADF" w:rsidRPr="00B5401E" w:rsidRDefault="005B6ADF" w:rsidP="00B5401E">
      <w:r w:rsidRPr="00B5401E">
        <w:t xml:space="preserve">Finalmente se calcula el tipo forward para el plazo </w:t>
      </w:r>
      <m:oMath>
        <m:r>
          <m:rPr>
            <m:sty m:val="p"/>
          </m:rPr>
          <w:rPr>
            <w:rFonts w:ascii="Cambria Math" w:hAnsi="Cambria Math"/>
          </w:rPr>
          <m:t>(</m:t>
        </m:r>
        <m:r>
          <w:rPr>
            <w:rFonts w:ascii="Cambria Math" w:hAnsi="Cambria Math"/>
          </w:rPr>
          <m:t>i</m:t>
        </m:r>
        <m:r>
          <m:rPr>
            <m:sty m:val="p"/>
          </m:rPr>
          <w:rPr>
            <w:rFonts w:ascii="Cambria Math" w:hAnsi="Cambria Math"/>
          </w:rPr>
          <m:t xml:space="preserve">-1, </m:t>
        </m:r>
        <m:r>
          <w:rPr>
            <w:rFonts w:ascii="Cambria Math" w:hAnsi="Cambria Math"/>
          </w:rPr>
          <m:t>i</m:t>
        </m:r>
        <m:r>
          <m:rPr>
            <m:sty m:val="p"/>
          </m:rPr>
          <w:rPr>
            <w:rFonts w:ascii="Cambria Math" w:hAnsi="Cambria Math"/>
          </w:rPr>
          <m:t>)</m:t>
        </m:r>
      </m:oMath>
      <w:r w:rsidRPr="00B5401E">
        <w:t xml:space="preserve"> en el momento t=0, con la siguiente fórmula:</w:t>
      </w:r>
    </w:p>
    <w:p w14:paraId="1D792F96" w14:textId="77777777" w:rsidR="005B6ADF" w:rsidRPr="00595E21" w:rsidRDefault="00A07579" w:rsidP="005B6ADF">
      <w:pPr>
        <w:autoSpaceDE w:val="0"/>
        <w:autoSpaceDN w:val="0"/>
        <w:adjustRightInd w:val="0"/>
        <w:ind w:left="426"/>
        <w:rPr>
          <w:rFonts w:asciiTheme="majorHAnsi" w:eastAsiaTheme="minorEastAsia" w:hAnsiTheme="majorHAnsi" w:cs="Calibri"/>
        </w:rPr>
      </w:pPr>
      <m:oMathPara>
        <m:oMath>
          <m:sSub>
            <m:sSubPr>
              <m:ctrlPr>
                <w:rPr>
                  <w:rFonts w:ascii="Cambria Math" w:eastAsiaTheme="minorEastAsia" w:hAnsi="Cambria Math" w:cs="Calibri"/>
                  <w:i/>
                </w:rPr>
              </m:ctrlPr>
            </m:sSubPr>
            <m:e>
              <m:r>
                <w:rPr>
                  <w:rFonts w:ascii="Cambria Math" w:eastAsiaTheme="minorEastAsia" w:hAnsi="Cambria Math" w:cs="Calibri"/>
                </w:rPr>
                <m:t>f</m:t>
              </m:r>
            </m:e>
            <m:sub>
              <m:r>
                <w:rPr>
                  <w:rFonts w:ascii="Cambria Math" w:eastAsiaTheme="minorEastAsia" w:hAnsi="Cambria Math" w:cs="Calibri"/>
                </w:rPr>
                <m:t>t,i</m:t>
              </m:r>
            </m:sub>
          </m:sSub>
          <m:r>
            <w:rPr>
              <w:rFonts w:ascii="Cambria Math" w:eastAsiaTheme="minorEastAsia" w:hAnsi="Cambria Math" w:cs="Calibri"/>
            </w:rPr>
            <m:t>=</m:t>
          </m:r>
          <m:f>
            <m:fPr>
              <m:ctrlPr>
                <w:rPr>
                  <w:rFonts w:ascii="Cambria Math" w:eastAsiaTheme="minorEastAsia" w:hAnsi="Cambria Math" w:cs="Calibri"/>
                  <w:i/>
                </w:rPr>
              </m:ctrlPr>
            </m:fPr>
            <m:num>
              <m:sSup>
                <m:sSupPr>
                  <m:ctrlPr>
                    <w:rPr>
                      <w:rFonts w:ascii="Cambria Math" w:eastAsiaTheme="minorEastAsia" w:hAnsi="Cambria Math" w:cs="Calibri"/>
                      <w:i/>
                    </w:rPr>
                  </m:ctrlPr>
                </m:sSupPr>
                <m:e>
                  <m:r>
                    <w:rPr>
                      <w:rFonts w:ascii="Cambria Math" w:eastAsiaTheme="minorEastAsia" w:hAnsi="Cambria Math" w:cs="Calibri"/>
                    </w:rPr>
                    <m:t>(1+</m:t>
                  </m:r>
                  <m:sSub>
                    <m:sSubPr>
                      <m:ctrlPr>
                        <w:rPr>
                          <w:rFonts w:ascii="Cambria Math" w:eastAsiaTheme="minorEastAsia" w:hAnsi="Cambria Math" w:cs="Calibri"/>
                          <w:i/>
                        </w:rPr>
                      </m:ctrlPr>
                    </m:sSubPr>
                    <m:e>
                      <m:r>
                        <w:rPr>
                          <w:rFonts w:ascii="Cambria Math" w:eastAsiaTheme="minorEastAsia" w:hAnsi="Cambria Math" w:cs="Calibri"/>
                        </w:rPr>
                        <m:t>r</m:t>
                      </m:r>
                    </m:e>
                    <m:sub>
                      <m:r>
                        <w:rPr>
                          <w:rFonts w:ascii="Cambria Math" w:eastAsiaTheme="minorEastAsia" w:hAnsi="Cambria Math" w:cs="Calibri"/>
                        </w:rPr>
                        <m:t>t,i</m:t>
                      </m:r>
                    </m:sub>
                  </m:sSub>
                  <m:r>
                    <w:rPr>
                      <w:rFonts w:ascii="Cambria Math" w:eastAsiaTheme="minorEastAsia" w:hAnsi="Cambria Math" w:cs="Calibri"/>
                    </w:rPr>
                    <m:t>)</m:t>
                  </m:r>
                </m:e>
                <m:sup>
                  <m:r>
                    <w:rPr>
                      <w:rFonts w:ascii="Cambria Math" w:eastAsiaTheme="minorEastAsia" w:hAnsi="Cambria Math" w:cs="Calibri"/>
                    </w:rPr>
                    <m:t>i</m:t>
                  </m:r>
                </m:sup>
              </m:sSup>
            </m:num>
            <m:den>
              <m:sSup>
                <m:sSupPr>
                  <m:ctrlPr>
                    <w:rPr>
                      <w:rFonts w:ascii="Cambria Math" w:eastAsiaTheme="minorEastAsia" w:hAnsi="Cambria Math" w:cs="Calibri"/>
                      <w:i/>
                    </w:rPr>
                  </m:ctrlPr>
                </m:sSupPr>
                <m:e>
                  <m:r>
                    <w:rPr>
                      <w:rFonts w:ascii="Cambria Math" w:eastAsiaTheme="minorEastAsia" w:hAnsi="Cambria Math" w:cs="Calibri"/>
                    </w:rPr>
                    <m:t>(1+</m:t>
                  </m:r>
                  <m:sSub>
                    <m:sSubPr>
                      <m:ctrlPr>
                        <w:rPr>
                          <w:rFonts w:ascii="Cambria Math" w:eastAsiaTheme="minorEastAsia" w:hAnsi="Cambria Math" w:cs="Calibri"/>
                          <w:i/>
                        </w:rPr>
                      </m:ctrlPr>
                    </m:sSubPr>
                    <m:e>
                      <m:r>
                        <w:rPr>
                          <w:rFonts w:ascii="Cambria Math" w:eastAsiaTheme="minorEastAsia" w:hAnsi="Cambria Math" w:cs="Calibri"/>
                        </w:rPr>
                        <m:t>r</m:t>
                      </m:r>
                    </m:e>
                    <m:sub>
                      <m:r>
                        <w:rPr>
                          <w:rFonts w:ascii="Cambria Math" w:eastAsiaTheme="minorEastAsia" w:hAnsi="Cambria Math" w:cs="Calibri"/>
                        </w:rPr>
                        <m:t>t,i-1</m:t>
                      </m:r>
                    </m:sub>
                  </m:sSub>
                  <m:r>
                    <w:rPr>
                      <w:rFonts w:ascii="Cambria Math" w:eastAsiaTheme="minorEastAsia" w:hAnsi="Cambria Math" w:cs="Calibri"/>
                    </w:rPr>
                    <m:t>)</m:t>
                  </m:r>
                </m:e>
                <m:sup>
                  <m:r>
                    <w:rPr>
                      <w:rFonts w:ascii="Cambria Math" w:eastAsiaTheme="minorEastAsia" w:hAnsi="Cambria Math" w:cs="Calibri"/>
                    </w:rPr>
                    <m:t>i-1</m:t>
                  </m:r>
                </m:sup>
              </m:sSup>
            </m:den>
          </m:f>
          <m:r>
            <w:rPr>
              <w:rFonts w:ascii="Cambria Math" w:eastAsiaTheme="minorEastAsia" w:hAnsi="Cambria Math" w:cs="Calibri"/>
            </w:rPr>
            <m:t>-1</m:t>
          </m:r>
        </m:oMath>
      </m:oMathPara>
    </w:p>
    <w:p w14:paraId="25C0CC5F" w14:textId="77777777" w:rsidR="005B6ADF" w:rsidRDefault="005B6ADF" w:rsidP="00F67C5E"/>
    <w:p w14:paraId="604B3E65" w14:textId="1A7BD084" w:rsidR="005B6ADF" w:rsidRDefault="00B5401E" w:rsidP="00F67C5E">
      <w:r>
        <w:t xml:space="preserve">Para la realización de los cálculos se utilizó lenguaje R. En el Anexo </w:t>
      </w:r>
      <w:r w:rsidR="00F020CC">
        <w:t xml:space="preserve">3 se </w:t>
      </w:r>
      <w:r w:rsidR="00E3493A">
        <w:t xml:space="preserve">muestra los precios </w:t>
      </w:r>
      <w:r w:rsidR="000128E6">
        <w:t>obtenidos,</w:t>
      </w:r>
      <w:r w:rsidR="00E3493A">
        <w:t xml:space="preserve"> así como la curva spot y curva forward</w:t>
      </w:r>
      <w:r w:rsidR="00A5627A">
        <w:t xml:space="preserve"> del periodo</w:t>
      </w:r>
      <w:r w:rsidR="00E3493A">
        <w:t xml:space="preserve">, la cual corresponderá a la </w:t>
      </w:r>
      <w:r w:rsidR="00E3493A" w:rsidRPr="002228D9">
        <w:t>curva de tipos de interés técnico</w:t>
      </w:r>
      <w:r w:rsidR="00E3493A">
        <w:t xml:space="preserve"> al 31 de diciembre de 20</w:t>
      </w:r>
      <w:r w:rsidR="008E5AAB">
        <w:t>20</w:t>
      </w:r>
      <w:r w:rsidR="00E3493A">
        <w:t xml:space="preserve"> y deberá aplicarse para el cálculo de </w:t>
      </w:r>
      <w:r w:rsidR="00E3493A" w:rsidRPr="00E3493A">
        <w:t xml:space="preserve">la provisión matemática de los seguros personales en colones para el cierre de </w:t>
      </w:r>
      <w:r w:rsidR="00A614AB">
        <w:t>abril</w:t>
      </w:r>
      <w:r w:rsidR="00E3493A" w:rsidRPr="00E3493A">
        <w:t xml:space="preserve"> de 20</w:t>
      </w:r>
      <w:r w:rsidR="008E5AAB">
        <w:t>21</w:t>
      </w:r>
      <w:r w:rsidR="00E3493A">
        <w:t xml:space="preserve"> hasta </w:t>
      </w:r>
      <w:r w:rsidR="00A614AB">
        <w:t>el cierre contable de marzo 20</w:t>
      </w:r>
      <w:r w:rsidR="008E5AAB">
        <w:t>22</w:t>
      </w:r>
      <w:r w:rsidR="00E3493A">
        <w:t>.</w:t>
      </w:r>
    </w:p>
    <w:p w14:paraId="5F487A60" w14:textId="77777777" w:rsidR="00F41569" w:rsidRDefault="00F41569" w:rsidP="00F67C5E"/>
    <w:p w14:paraId="00623BB9" w14:textId="77777777" w:rsidR="008A0AEC" w:rsidRDefault="008A0AEC" w:rsidP="00F67C5E"/>
    <w:p w14:paraId="08BD5AF3" w14:textId="77777777" w:rsidR="008A0AEC" w:rsidRDefault="008A0AEC" w:rsidP="00F67C5E"/>
    <w:p w14:paraId="53C902C0" w14:textId="77777777" w:rsidR="00320F96" w:rsidRDefault="00320F96" w:rsidP="00F67C5E">
      <w:pPr>
        <w:pStyle w:val="Ttulo1"/>
        <w:numPr>
          <w:ilvl w:val="0"/>
          <w:numId w:val="2"/>
        </w:numPr>
        <w:spacing w:before="0" w:beforeAutospacing="0" w:after="0" w:afterAutospacing="0" w:line="276" w:lineRule="auto"/>
        <w:ind w:left="709"/>
        <w:jc w:val="left"/>
        <w:rPr>
          <w:rFonts w:ascii="Century Gothic" w:eastAsiaTheme="majorEastAsia" w:hAnsi="Century Gothic" w:cstheme="majorBidi"/>
          <w:color w:val="365F91" w:themeColor="accent1" w:themeShade="BF"/>
          <w:kern w:val="0"/>
          <w:sz w:val="28"/>
          <w:szCs w:val="28"/>
          <w:lang w:eastAsia="es-CR"/>
        </w:rPr>
      </w:pPr>
      <w:bookmarkStart w:id="8" w:name="_Toc37177679"/>
      <w:r>
        <w:rPr>
          <w:rFonts w:ascii="Century Gothic" w:eastAsiaTheme="majorEastAsia" w:hAnsi="Century Gothic" w:cstheme="majorBidi"/>
          <w:color w:val="365F91" w:themeColor="accent1" w:themeShade="BF"/>
          <w:kern w:val="0"/>
          <w:sz w:val="28"/>
          <w:szCs w:val="28"/>
          <w:lang w:eastAsia="es-CR"/>
        </w:rPr>
        <w:t>ANEXOS</w:t>
      </w:r>
      <w:bookmarkEnd w:id="8"/>
    </w:p>
    <w:p w14:paraId="44D76956" w14:textId="77777777" w:rsidR="00335903" w:rsidRDefault="00335903" w:rsidP="00F67C5E">
      <w:pPr>
        <w:rPr>
          <w:lang w:eastAsia="es-CR"/>
        </w:rPr>
      </w:pPr>
    </w:p>
    <w:tbl>
      <w:tblPr>
        <w:tblStyle w:val="Listaclara-nfasis11"/>
        <w:tblW w:w="8779" w:type="dxa"/>
        <w:tblLayout w:type="fixed"/>
        <w:tblLook w:val="04A0" w:firstRow="1" w:lastRow="0" w:firstColumn="1" w:lastColumn="0" w:noHBand="0" w:noVBand="1"/>
      </w:tblPr>
      <w:tblGrid>
        <w:gridCol w:w="6086"/>
        <w:gridCol w:w="2693"/>
      </w:tblGrid>
      <w:tr w:rsidR="0046129A" w:rsidRPr="005362D8" w14:paraId="53C902C3" w14:textId="77777777" w:rsidTr="0033590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6086" w:type="dxa"/>
            <w:shd w:val="clear" w:color="auto" w:fill="365F91" w:themeFill="accent1" w:themeFillShade="BF"/>
          </w:tcPr>
          <w:p w14:paraId="53C902C1" w14:textId="4F1BDEFC" w:rsidR="0046129A" w:rsidRPr="005119A0" w:rsidRDefault="00335903" w:rsidP="00F67C5E">
            <w:pPr>
              <w:jc w:val="center"/>
              <w:rPr>
                <w:sz w:val="22"/>
              </w:rPr>
            </w:pPr>
            <w:r>
              <w:rPr>
                <w:sz w:val="22"/>
              </w:rPr>
              <w:t>Anexos</w:t>
            </w:r>
          </w:p>
        </w:tc>
        <w:tc>
          <w:tcPr>
            <w:tcW w:w="2693" w:type="dxa"/>
            <w:shd w:val="clear" w:color="auto" w:fill="365F91" w:themeFill="accent1" w:themeFillShade="BF"/>
          </w:tcPr>
          <w:p w14:paraId="53C902C2" w14:textId="77777777" w:rsidR="0046129A" w:rsidRPr="005119A0" w:rsidRDefault="0046129A" w:rsidP="00F67C5E">
            <w:pPr>
              <w:jc w:val="center"/>
              <w:cnfStyle w:val="100000000000" w:firstRow="1" w:lastRow="0" w:firstColumn="0" w:lastColumn="0" w:oddVBand="0" w:evenVBand="0" w:oddHBand="0" w:evenHBand="0" w:firstRowFirstColumn="0" w:firstRowLastColumn="0" w:lastRowFirstColumn="0" w:lastRowLastColumn="0"/>
              <w:rPr>
                <w:sz w:val="22"/>
              </w:rPr>
            </w:pPr>
            <w:r w:rsidRPr="005119A0">
              <w:rPr>
                <w:sz w:val="22"/>
              </w:rPr>
              <w:t>Archivo</w:t>
            </w:r>
          </w:p>
        </w:tc>
      </w:tr>
      <w:tr w:rsidR="0046129A" w:rsidRPr="00594565" w14:paraId="53C902C6" w14:textId="77777777" w:rsidTr="00335903">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6086" w:type="dxa"/>
            <w:vAlign w:val="center"/>
          </w:tcPr>
          <w:p w14:paraId="53C902C4" w14:textId="76D8A72E" w:rsidR="0046129A" w:rsidRPr="005119A0" w:rsidRDefault="00335903" w:rsidP="00335903">
            <w:pPr>
              <w:jc w:val="left"/>
              <w:rPr>
                <w:b w:val="0"/>
                <w:sz w:val="22"/>
              </w:rPr>
            </w:pPr>
            <w:r>
              <w:rPr>
                <w:b w:val="0"/>
                <w:sz w:val="22"/>
              </w:rPr>
              <w:t>Anexo 1. Hist</w:t>
            </w:r>
            <w:r w:rsidR="00524781">
              <w:rPr>
                <w:b w:val="0"/>
                <w:sz w:val="22"/>
              </w:rPr>
              <w:t>órico Curvas Soberanas 2015-20</w:t>
            </w:r>
            <w:r w:rsidR="008E5AAB">
              <w:rPr>
                <w:b w:val="0"/>
                <w:sz w:val="22"/>
              </w:rPr>
              <w:t>20</w:t>
            </w:r>
          </w:p>
        </w:tc>
        <w:bookmarkStart w:id="9" w:name="_MON_1678281120"/>
        <w:bookmarkEnd w:id="9"/>
        <w:tc>
          <w:tcPr>
            <w:tcW w:w="2693" w:type="dxa"/>
          </w:tcPr>
          <w:p w14:paraId="53C902C5" w14:textId="312ACDF1" w:rsidR="0046129A" w:rsidRPr="005119A0" w:rsidRDefault="00C55813" w:rsidP="00335903">
            <w:pPr>
              <w:jc w:val="center"/>
              <w:cnfStyle w:val="000000100000" w:firstRow="0" w:lastRow="0" w:firstColumn="0" w:lastColumn="0" w:oddVBand="0" w:evenVBand="0" w:oddHBand="1" w:evenHBand="0" w:firstRowFirstColumn="0" w:firstRowLastColumn="0" w:lastRowFirstColumn="0" w:lastRowLastColumn="0"/>
              <w:rPr>
                <w:b/>
                <w:color w:val="FF0000"/>
                <w:sz w:val="22"/>
              </w:rPr>
            </w:pPr>
            <w:r>
              <w:rPr>
                <w:rFonts w:eastAsiaTheme="minorHAnsi"/>
                <w:b/>
                <w:color w:val="FF0000"/>
                <w:sz w:val="22"/>
                <w:lang w:eastAsia="en-US"/>
              </w:rPr>
              <w:object w:dxaOrig="1533" w:dyaOrig="990" w14:anchorId="08710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Excel.Sheet.12" ShapeID="_x0000_i1025" DrawAspect="Icon" ObjectID="_1680352260" r:id="rId15"/>
              </w:object>
            </w:r>
          </w:p>
        </w:tc>
      </w:tr>
      <w:tr w:rsidR="00335903" w:rsidRPr="00594565" w14:paraId="21377E11" w14:textId="77777777" w:rsidTr="00335903">
        <w:trPr>
          <w:trHeight w:val="536"/>
        </w:trPr>
        <w:tc>
          <w:tcPr>
            <w:cnfStyle w:val="001000000000" w:firstRow="0" w:lastRow="0" w:firstColumn="1" w:lastColumn="0" w:oddVBand="0" w:evenVBand="0" w:oddHBand="0" w:evenHBand="0" w:firstRowFirstColumn="0" w:firstRowLastColumn="0" w:lastRowFirstColumn="0" w:lastRowLastColumn="0"/>
            <w:tcW w:w="6086" w:type="dxa"/>
            <w:vAlign w:val="center"/>
          </w:tcPr>
          <w:p w14:paraId="7651C492" w14:textId="66B4D29E" w:rsidR="00335903" w:rsidRDefault="00002677" w:rsidP="00F03550">
            <w:pPr>
              <w:jc w:val="left"/>
              <w:rPr>
                <w:b w:val="0"/>
                <w:sz w:val="22"/>
              </w:rPr>
            </w:pPr>
            <w:r>
              <w:rPr>
                <w:b w:val="0"/>
                <w:sz w:val="22"/>
              </w:rPr>
              <w:t xml:space="preserve">Anexo 2. Histórico Tasas de Interés, Mercado </w:t>
            </w:r>
            <w:r w:rsidR="00F03550">
              <w:rPr>
                <w:b w:val="0"/>
                <w:sz w:val="22"/>
              </w:rPr>
              <w:t>Integrado de Liquidez (MIL)</w:t>
            </w:r>
          </w:p>
        </w:tc>
        <w:bookmarkStart w:id="10" w:name="_MON_1678281070"/>
        <w:bookmarkEnd w:id="10"/>
        <w:tc>
          <w:tcPr>
            <w:tcW w:w="2693" w:type="dxa"/>
          </w:tcPr>
          <w:p w14:paraId="39EF0249" w14:textId="5A5DF319" w:rsidR="00335903" w:rsidRDefault="00C55813" w:rsidP="00335903">
            <w:pPr>
              <w:jc w:val="center"/>
              <w:cnfStyle w:val="000000000000" w:firstRow="0" w:lastRow="0" w:firstColumn="0" w:lastColumn="0" w:oddVBand="0" w:evenVBand="0" w:oddHBand="0" w:evenHBand="0" w:firstRowFirstColumn="0" w:firstRowLastColumn="0" w:lastRowFirstColumn="0" w:lastRowLastColumn="0"/>
              <w:rPr>
                <w:b/>
                <w:color w:val="FF0000"/>
                <w:sz w:val="22"/>
              </w:rPr>
            </w:pPr>
            <w:r>
              <w:rPr>
                <w:rFonts w:eastAsiaTheme="minorHAnsi"/>
                <w:b/>
                <w:color w:val="FF0000"/>
                <w:sz w:val="22"/>
                <w:lang w:eastAsia="en-US"/>
              </w:rPr>
              <w:object w:dxaOrig="1533" w:dyaOrig="990" w14:anchorId="3ECDBB05">
                <v:shape id="_x0000_i1026" type="#_x0000_t75" style="width:76.5pt;height:49.5pt" o:ole="">
                  <v:imagedata r:id="rId16" o:title=""/>
                </v:shape>
                <o:OLEObject Type="Embed" ProgID="Excel.Sheet.12" ShapeID="_x0000_i1026" DrawAspect="Icon" ObjectID="_1680352261" r:id="rId17"/>
              </w:object>
            </w:r>
          </w:p>
        </w:tc>
      </w:tr>
      <w:tr w:rsidR="00F020CC" w:rsidRPr="00594565" w14:paraId="3E20EF3C" w14:textId="77777777" w:rsidTr="00335903">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6086" w:type="dxa"/>
            <w:vAlign w:val="center"/>
          </w:tcPr>
          <w:p w14:paraId="3AF190D8" w14:textId="64D2F6C5" w:rsidR="00F020CC" w:rsidRDefault="00F020CC" w:rsidP="00F03550">
            <w:pPr>
              <w:jc w:val="left"/>
              <w:rPr>
                <w:b w:val="0"/>
                <w:sz w:val="22"/>
              </w:rPr>
            </w:pPr>
            <w:r>
              <w:rPr>
                <w:b w:val="0"/>
                <w:sz w:val="22"/>
              </w:rPr>
              <w:t xml:space="preserve">Anexo 3. </w:t>
            </w:r>
            <w:r w:rsidR="00E25C94">
              <w:rPr>
                <w:b w:val="0"/>
                <w:sz w:val="22"/>
              </w:rPr>
              <w:t>Precios, Curva Spot, Curva Forward al 31 de diciembre de 20</w:t>
            </w:r>
            <w:r w:rsidR="008E5AAB">
              <w:rPr>
                <w:b w:val="0"/>
                <w:sz w:val="22"/>
              </w:rPr>
              <w:t>20</w:t>
            </w:r>
          </w:p>
        </w:tc>
        <w:bookmarkStart w:id="11" w:name="_MON_1678280843"/>
        <w:bookmarkEnd w:id="11"/>
        <w:tc>
          <w:tcPr>
            <w:tcW w:w="2693" w:type="dxa"/>
          </w:tcPr>
          <w:p w14:paraId="604E7D11" w14:textId="682493A7" w:rsidR="00F020CC" w:rsidRDefault="00C55813" w:rsidP="00335903">
            <w:pPr>
              <w:jc w:val="center"/>
              <w:cnfStyle w:val="000000100000" w:firstRow="0" w:lastRow="0" w:firstColumn="0" w:lastColumn="0" w:oddVBand="0" w:evenVBand="0" w:oddHBand="1" w:evenHBand="0" w:firstRowFirstColumn="0" w:firstRowLastColumn="0" w:lastRowFirstColumn="0" w:lastRowLastColumn="0"/>
              <w:rPr>
                <w:b/>
                <w:color w:val="FF0000"/>
                <w:sz w:val="22"/>
              </w:rPr>
            </w:pPr>
            <w:r>
              <w:rPr>
                <w:rFonts w:eastAsiaTheme="minorHAnsi"/>
                <w:b/>
                <w:color w:val="FF0000"/>
                <w:sz w:val="22"/>
                <w:lang w:eastAsia="en-US"/>
              </w:rPr>
              <w:object w:dxaOrig="1533" w:dyaOrig="990" w14:anchorId="49AE7223">
                <v:shape id="_x0000_i1027" type="#_x0000_t75" style="width:76.5pt;height:49.5pt" o:ole="">
                  <v:imagedata r:id="rId18" o:title=""/>
                </v:shape>
                <o:OLEObject Type="Embed" ProgID="Excel.Sheet.12" ShapeID="_x0000_i1027" DrawAspect="Icon" ObjectID="_1680352262" r:id="rId19"/>
              </w:object>
            </w:r>
          </w:p>
        </w:tc>
      </w:tr>
    </w:tbl>
    <w:p w14:paraId="53C902C7" w14:textId="77777777" w:rsidR="0046129A" w:rsidRDefault="0046129A" w:rsidP="00F67C5E">
      <w:pPr>
        <w:rPr>
          <w:rFonts w:asciiTheme="majorHAnsi" w:hAnsiTheme="majorHAnsi"/>
          <w:b/>
          <w:color w:val="FF0000"/>
        </w:rPr>
      </w:pPr>
    </w:p>
    <w:p w14:paraId="53C902C8" w14:textId="77777777" w:rsidR="00320F96" w:rsidRDefault="00320F96" w:rsidP="00F67C5E">
      <w:pPr>
        <w:rPr>
          <w:rFonts w:asciiTheme="majorHAnsi" w:hAnsiTheme="majorHAnsi"/>
          <w:b/>
          <w:color w:val="FF0000"/>
        </w:rPr>
      </w:pPr>
    </w:p>
    <w:p w14:paraId="53C902C9" w14:textId="77777777" w:rsidR="00320F96" w:rsidRDefault="00320F96" w:rsidP="00F67C5E">
      <w:pPr>
        <w:rPr>
          <w:rFonts w:asciiTheme="majorHAnsi" w:hAnsiTheme="majorHAnsi"/>
          <w:b/>
          <w:color w:val="FF0000"/>
        </w:rPr>
      </w:pPr>
    </w:p>
    <w:p w14:paraId="111D3E0E" w14:textId="7E6570CF" w:rsidR="00F41569" w:rsidRDefault="00F41569" w:rsidP="00F67C5E">
      <w:pPr>
        <w:rPr>
          <w:rFonts w:asciiTheme="majorHAnsi" w:hAnsiTheme="majorHAnsi"/>
          <w:b/>
          <w:color w:val="FF0000"/>
        </w:rPr>
      </w:pPr>
    </w:p>
    <w:p w14:paraId="14A5A5BF" w14:textId="31D43D45" w:rsidR="00FC3D93" w:rsidRDefault="00FC3D93" w:rsidP="00F67C5E">
      <w:pPr>
        <w:rPr>
          <w:rFonts w:asciiTheme="majorHAnsi" w:hAnsiTheme="majorHAnsi"/>
          <w:b/>
          <w:color w:val="FF0000"/>
        </w:rPr>
      </w:pPr>
    </w:p>
    <w:p w14:paraId="363F5257" w14:textId="77777777" w:rsidR="00FC3D93" w:rsidRDefault="00FC3D93" w:rsidP="00F67C5E">
      <w:pPr>
        <w:rPr>
          <w:rFonts w:asciiTheme="majorHAnsi" w:hAnsiTheme="majorHAnsi"/>
          <w:b/>
          <w:color w:val="FF0000"/>
        </w:rPr>
      </w:pPr>
    </w:p>
    <w:p w14:paraId="29E25A6E" w14:textId="77777777" w:rsidR="00F41569" w:rsidRDefault="00F41569" w:rsidP="00F67C5E">
      <w:pPr>
        <w:rPr>
          <w:rFonts w:asciiTheme="majorHAnsi" w:hAnsiTheme="majorHAnsi"/>
          <w:b/>
          <w:color w:val="FF0000"/>
        </w:rPr>
      </w:pPr>
    </w:p>
    <w:p w14:paraId="6BB40267" w14:textId="77777777" w:rsidR="00F41569" w:rsidRDefault="00F41569" w:rsidP="00F67C5E">
      <w:pPr>
        <w:rPr>
          <w:rFonts w:asciiTheme="majorHAnsi" w:hAnsiTheme="majorHAnsi"/>
          <w:b/>
          <w:color w:val="FF0000"/>
        </w:rPr>
      </w:pPr>
    </w:p>
    <w:p w14:paraId="27AB48E7" w14:textId="77777777" w:rsidR="009E36CE" w:rsidRDefault="009E36CE" w:rsidP="00F67C5E">
      <w:pPr>
        <w:rPr>
          <w:rFonts w:asciiTheme="majorHAnsi" w:hAnsiTheme="majorHAnsi"/>
          <w:b/>
          <w:color w:val="FF0000"/>
        </w:rPr>
      </w:pPr>
    </w:p>
    <w:p w14:paraId="07A38D66" w14:textId="77777777" w:rsidR="00485D23" w:rsidRDefault="00485D23" w:rsidP="00F67C5E">
      <w:pPr>
        <w:rPr>
          <w:rFonts w:asciiTheme="majorHAnsi" w:hAnsiTheme="majorHAnsi"/>
          <w:b/>
          <w:color w:val="FF0000"/>
        </w:rPr>
      </w:pPr>
    </w:p>
    <w:p w14:paraId="53C902D3" w14:textId="77777777" w:rsidR="00320F96" w:rsidRDefault="00320F96" w:rsidP="00F67C5E">
      <w:pPr>
        <w:rPr>
          <w:rFonts w:asciiTheme="majorHAnsi" w:hAnsiTheme="majorHAnsi"/>
          <w:szCs w:val="24"/>
        </w:rPr>
      </w:pPr>
    </w:p>
    <w:p w14:paraId="53C902D4" w14:textId="77777777" w:rsidR="00320F96" w:rsidRDefault="00320F96" w:rsidP="00F67C5E">
      <w:pPr>
        <w:rPr>
          <w:rFonts w:asciiTheme="majorHAnsi" w:hAnsiTheme="majorHAnsi"/>
          <w:szCs w:val="24"/>
        </w:rPr>
      </w:pPr>
    </w:p>
    <w:tbl>
      <w:tblPr>
        <w:tblStyle w:val="Tablaconcuadrcula"/>
        <w:tblW w:w="0" w:type="auto"/>
        <w:tblLook w:val="04A0" w:firstRow="1" w:lastRow="0" w:firstColumn="1" w:lastColumn="0" w:noHBand="0" w:noVBand="1"/>
      </w:tblPr>
      <w:tblGrid>
        <w:gridCol w:w="3823"/>
        <w:gridCol w:w="4961"/>
      </w:tblGrid>
      <w:tr w:rsidR="00320F96" w14:paraId="53C902D7" w14:textId="77777777" w:rsidTr="005B6ADF">
        <w:tc>
          <w:tcPr>
            <w:tcW w:w="3823" w:type="dxa"/>
          </w:tcPr>
          <w:p w14:paraId="53C902D5" w14:textId="77777777" w:rsidR="00320F96" w:rsidRPr="000526F0" w:rsidRDefault="00320F96" w:rsidP="00F67C5E">
            <w:pPr>
              <w:rPr>
                <w:rFonts w:asciiTheme="majorHAnsi" w:hAnsiTheme="majorHAnsi"/>
                <w:b/>
                <w:color w:val="4A442A" w:themeColor="background2" w:themeShade="40"/>
                <w:sz w:val="22"/>
                <w:szCs w:val="24"/>
              </w:rPr>
            </w:pPr>
            <w:r w:rsidRPr="000526F0">
              <w:rPr>
                <w:rFonts w:asciiTheme="majorHAnsi" w:hAnsiTheme="majorHAnsi"/>
                <w:b/>
                <w:color w:val="4A442A" w:themeColor="background2" w:themeShade="40"/>
                <w:sz w:val="22"/>
                <w:szCs w:val="24"/>
              </w:rPr>
              <w:t xml:space="preserve">Elaborado por: </w:t>
            </w:r>
          </w:p>
        </w:tc>
        <w:tc>
          <w:tcPr>
            <w:tcW w:w="4961" w:type="dxa"/>
          </w:tcPr>
          <w:p w14:paraId="53C902D6" w14:textId="77777777" w:rsidR="00320F96" w:rsidRPr="000526F0" w:rsidRDefault="00320F96" w:rsidP="00F67C5E">
            <w:pPr>
              <w:rPr>
                <w:rFonts w:asciiTheme="majorHAnsi" w:hAnsiTheme="majorHAnsi"/>
                <w:b/>
                <w:color w:val="4A442A" w:themeColor="background2" w:themeShade="40"/>
                <w:sz w:val="22"/>
                <w:szCs w:val="24"/>
              </w:rPr>
            </w:pPr>
            <w:r w:rsidRPr="000526F0">
              <w:rPr>
                <w:rFonts w:asciiTheme="majorHAnsi" w:hAnsiTheme="majorHAnsi"/>
                <w:b/>
                <w:color w:val="4A442A" w:themeColor="background2" w:themeShade="40"/>
                <w:sz w:val="22"/>
                <w:szCs w:val="24"/>
              </w:rPr>
              <w:t>Revisado y aprobado por :</w:t>
            </w:r>
          </w:p>
        </w:tc>
      </w:tr>
      <w:tr w:rsidR="00320F96" w14:paraId="53C902DA" w14:textId="77777777" w:rsidTr="005B6ADF">
        <w:tc>
          <w:tcPr>
            <w:tcW w:w="3823" w:type="dxa"/>
          </w:tcPr>
          <w:p w14:paraId="53C902D8" w14:textId="5A492ECE" w:rsidR="00320F96" w:rsidRPr="000526F0" w:rsidRDefault="00726231" w:rsidP="00F67C5E">
            <w:pPr>
              <w:rPr>
                <w:rFonts w:asciiTheme="majorHAnsi" w:hAnsiTheme="majorHAnsi"/>
                <w:color w:val="4A442A" w:themeColor="background2" w:themeShade="40"/>
                <w:sz w:val="22"/>
                <w:szCs w:val="24"/>
              </w:rPr>
            </w:pPr>
            <w:r>
              <w:rPr>
                <w:rFonts w:asciiTheme="majorHAnsi" w:hAnsiTheme="majorHAnsi"/>
                <w:color w:val="4A442A" w:themeColor="background2" w:themeShade="40"/>
                <w:sz w:val="22"/>
                <w:szCs w:val="24"/>
              </w:rPr>
              <w:t>Gina Chacón Argüello</w:t>
            </w:r>
          </w:p>
        </w:tc>
        <w:tc>
          <w:tcPr>
            <w:tcW w:w="4961" w:type="dxa"/>
          </w:tcPr>
          <w:p w14:paraId="53C902D9" w14:textId="77777777" w:rsidR="00320F96" w:rsidRPr="000526F0" w:rsidRDefault="00320F96" w:rsidP="00F67C5E">
            <w:pPr>
              <w:rPr>
                <w:rFonts w:asciiTheme="majorHAnsi" w:hAnsiTheme="majorHAnsi"/>
                <w:color w:val="4A442A" w:themeColor="background2" w:themeShade="40"/>
                <w:sz w:val="22"/>
                <w:szCs w:val="24"/>
              </w:rPr>
            </w:pPr>
            <w:r w:rsidRPr="000526F0">
              <w:rPr>
                <w:rFonts w:asciiTheme="majorHAnsi" w:hAnsiTheme="majorHAnsi"/>
                <w:color w:val="4A442A" w:themeColor="background2" w:themeShade="40"/>
                <w:sz w:val="22"/>
                <w:szCs w:val="24"/>
              </w:rPr>
              <w:t>Celia González Haug</w:t>
            </w:r>
          </w:p>
        </w:tc>
      </w:tr>
      <w:tr w:rsidR="00320F96" w14:paraId="53C902DD" w14:textId="77777777" w:rsidTr="005B6ADF">
        <w:tc>
          <w:tcPr>
            <w:tcW w:w="3823" w:type="dxa"/>
          </w:tcPr>
          <w:p w14:paraId="53C902DB" w14:textId="77777777" w:rsidR="00320F96" w:rsidRPr="000526F0" w:rsidRDefault="00320F96" w:rsidP="00F67C5E">
            <w:pPr>
              <w:rPr>
                <w:rFonts w:asciiTheme="majorHAnsi" w:hAnsiTheme="majorHAnsi"/>
                <w:color w:val="4A442A" w:themeColor="background2" w:themeShade="40"/>
                <w:sz w:val="22"/>
                <w:szCs w:val="24"/>
              </w:rPr>
            </w:pPr>
            <w:r w:rsidRPr="000526F0">
              <w:rPr>
                <w:rFonts w:asciiTheme="majorHAnsi" w:hAnsiTheme="majorHAnsi"/>
                <w:color w:val="4A442A" w:themeColor="background2" w:themeShade="40"/>
                <w:sz w:val="22"/>
                <w:szCs w:val="24"/>
              </w:rPr>
              <w:t>Analista Normativa y Autorizaciones</w:t>
            </w:r>
          </w:p>
        </w:tc>
        <w:tc>
          <w:tcPr>
            <w:tcW w:w="4961" w:type="dxa"/>
          </w:tcPr>
          <w:p w14:paraId="53C902DC" w14:textId="77777777" w:rsidR="00320F96" w:rsidRPr="000526F0" w:rsidRDefault="00320F96" w:rsidP="00F67C5E">
            <w:pPr>
              <w:rPr>
                <w:rFonts w:asciiTheme="majorHAnsi" w:hAnsiTheme="majorHAnsi"/>
                <w:color w:val="4A442A" w:themeColor="background2" w:themeShade="40"/>
                <w:sz w:val="22"/>
                <w:szCs w:val="24"/>
              </w:rPr>
            </w:pPr>
            <w:r w:rsidRPr="000526F0">
              <w:rPr>
                <w:rFonts w:asciiTheme="majorHAnsi" w:hAnsiTheme="majorHAnsi"/>
                <w:color w:val="4A442A" w:themeColor="background2" w:themeShade="40"/>
                <w:sz w:val="22"/>
                <w:szCs w:val="24"/>
              </w:rPr>
              <w:t>Directora División Normativa y Autorizaciones</w:t>
            </w:r>
          </w:p>
        </w:tc>
      </w:tr>
    </w:tbl>
    <w:p w14:paraId="53C902DF" w14:textId="77777777" w:rsidR="00916795" w:rsidRDefault="00916795" w:rsidP="00F67C5E"/>
    <w:sectPr w:rsidR="00916795" w:rsidSect="00D7389D">
      <w:headerReference w:type="even" r:id="rId20"/>
      <w:headerReference w:type="default" r:id="rId21"/>
      <w:footerReference w:type="even" r:id="rId22"/>
      <w:footerReference w:type="default" r:id="rId23"/>
      <w:headerReference w:type="first" r:id="rId24"/>
      <w:footerReference w:type="first" r:id="rId25"/>
      <w:pgSz w:w="12240" w:h="15840" w:code="1"/>
      <w:pgMar w:top="1418" w:right="1701" w:bottom="1418" w:left="1701" w:header="71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2850A" w14:textId="77777777" w:rsidR="006D3180" w:rsidRDefault="006D3180" w:rsidP="0046129A">
      <w:pPr>
        <w:spacing w:line="240" w:lineRule="auto"/>
      </w:pPr>
      <w:r>
        <w:separator/>
      </w:r>
    </w:p>
  </w:endnote>
  <w:endnote w:type="continuationSeparator" w:id="0">
    <w:p w14:paraId="1AD59BC4" w14:textId="77777777" w:rsidR="006D3180" w:rsidRDefault="006D3180" w:rsidP="004612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2E13B" w14:textId="77777777" w:rsidR="006D3180" w:rsidRDefault="006D318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20"/>
      </w:rPr>
      <w:id w:val="-583220502"/>
      <w:docPartObj>
        <w:docPartGallery w:val="Page Numbers (Bottom of Page)"/>
        <w:docPartUnique/>
      </w:docPartObj>
    </w:sdtPr>
    <w:sdtEndPr/>
    <w:sdtContent>
      <w:sdt>
        <w:sdtPr>
          <w:rPr>
            <w:color w:val="808080" w:themeColor="background1" w:themeShade="80"/>
            <w:sz w:val="20"/>
          </w:rPr>
          <w:id w:val="-45689045"/>
          <w:docPartObj>
            <w:docPartGallery w:val="Page Numbers (Top of Page)"/>
            <w:docPartUnique/>
          </w:docPartObj>
        </w:sdtPr>
        <w:sdtEndPr/>
        <w:sdtContent>
          <w:p w14:paraId="53C902F0" w14:textId="77777777" w:rsidR="006D3180" w:rsidRPr="00D7389D" w:rsidRDefault="006D3180">
            <w:pPr>
              <w:pStyle w:val="Piedepgina"/>
              <w:jc w:val="right"/>
              <w:rPr>
                <w:color w:val="808080" w:themeColor="background1" w:themeShade="80"/>
              </w:rPr>
            </w:pPr>
          </w:p>
          <w:p w14:paraId="53C902F1" w14:textId="77777777" w:rsidR="006D3180" w:rsidRPr="008C5005" w:rsidRDefault="006D3180" w:rsidP="00F23E5A">
            <w:pPr>
              <w:pStyle w:val="Piedepgina"/>
              <w:jc w:val="center"/>
              <w:rPr>
                <w:color w:val="808080" w:themeColor="background1" w:themeShade="80"/>
                <w:sz w:val="20"/>
              </w:rPr>
            </w:pPr>
            <w:r w:rsidRPr="00F23E5A">
              <w:rPr>
                <w:rFonts w:asciiTheme="majorHAnsi" w:hAnsiTheme="majorHAnsi"/>
                <w:color w:val="948A54" w:themeColor="background2" w:themeShade="80"/>
                <w:sz w:val="20"/>
                <w:szCs w:val="20"/>
                <w:lang w:val="es-ES"/>
              </w:rPr>
              <w:t xml:space="preserve">Página </w:t>
            </w:r>
            <w:r w:rsidRPr="00F23E5A">
              <w:rPr>
                <w:rFonts w:asciiTheme="majorHAnsi" w:hAnsiTheme="majorHAnsi"/>
                <w:bCs/>
                <w:color w:val="948A54" w:themeColor="background2" w:themeShade="80"/>
                <w:sz w:val="20"/>
                <w:szCs w:val="20"/>
              </w:rPr>
              <w:fldChar w:fldCharType="begin"/>
            </w:r>
            <w:r w:rsidRPr="00F23E5A">
              <w:rPr>
                <w:rFonts w:asciiTheme="majorHAnsi" w:hAnsiTheme="majorHAnsi"/>
                <w:bCs/>
                <w:color w:val="948A54" w:themeColor="background2" w:themeShade="80"/>
                <w:sz w:val="20"/>
                <w:szCs w:val="20"/>
              </w:rPr>
              <w:instrText>PAGE</w:instrText>
            </w:r>
            <w:r w:rsidRPr="00F23E5A">
              <w:rPr>
                <w:rFonts w:asciiTheme="majorHAnsi" w:hAnsiTheme="majorHAnsi"/>
                <w:bCs/>
                <w:color w:val="948A54" w:themeColor="background2" w:themeShade="80"/>
                <w:sz w:val="20"/>
                <w:szCs w:val="20"/>
              </w:rPr>
              <w:fldChar w:fldCharType="separate"/>
            </w:r>
            <w:r>
              <w:rPr>
                <w:rFonts w:asciiTheme="majorHAnsi" w:hAnsiTheme="majorHAnsi"/>
                <w:bCs/>
                <w:noProof/>
                <w:color w:val="948A54" w:themeColor="background2" w:themeShade="80"/>
                <w:sz w:val="20"/>
                <w:szCs w:val="20"/>
              </w:rPr>
              <w:t>10</w:t>
            </w:r>
            <w:r w:rsidRPr="00F23E5A">
              <w:rPr>
                <w:rFonts w:asciiTheme="majorHAnsi" w:hAnsiTheme="majorHAnsi"/>
                <w:bCs/>
                <w:color w:val="948A54" w:themeColor="background2" w:themeShade="80"/>
                <w:sz w:val="20"/>
                <w:szCs w:val="20"/>
              </w:rPr>
              <w:fldChar w:fldCharType="end"/>
            </w:r>
          </w:p>
        </w:sdtContent>
      </w:sdt>
    </w:sdtContent>
  </w:sdt>
  <w:p w14:paraId="53C902F2" w14:textId="77777777" w:rsidR="006D3180" w:rsidRPr="008C5005" w:rsidRDefault="006D3180">
    <w:pPr>
      <w:pStyle w:val="Piedepgina"/>
      <w:rPr>
        <w:color w:val="365F91" w:themeColor="accent1" w:themeShade="BF"/>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5C541" w14:textId="77777777" w:rsidR="006D3180" w:rsidRDefault="006D31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1EC34" w14:textId="77777777" w:rsidR="006D3180" w:rsidRDefault="006D3180" w:rsidP="0046129A">
      <w:pPr>
        <w:spacing w:line="240" w:lineRule="auto"/>
      </w:pPr>
      <w:r>
        <w:separator/>
      </w:r>
    </w:p>
  </w:footnote>
  <w:footnote w:type="continuationSeparator" w:id="0">
    <w:p w14:paraId="15B22ED0" w14:textId="77777777" w:rsidR="006D3180" w:rsidRDefault="006D3180" w:rsidP="0046129A">
      <w:pPr>
        <w:spacing w:line="240" w:lineRule="auto"/>
      </w:pPr>
      <w:r>
        <w:continuationSeparator/>
      </w:r>
    </w:p>
  </w:footnote>
  <w:footnote w:id="1">
    <w:p w14:paraId="5BDCA57A" w14:textId="181770F6" w:rsidR="006D3180" w:rsidRDefault="006D3180" w:rsidP="00E471D4">
      <w:pPr>
        <w:pStyle w:val="Textonotapie"/>
      </w:pPr>
      <w:r>
        <w:rPr>
          <w:rStyle w:val="Refdenotaalpie"/>
        </w:rPr>
        <w:footnoteRef/>
      </w:r>
      <w:r>
        <w:t xml:space="preserve"> No obstante, de acuerdo con el segundo por tanto del Acuerdo </w:t>
      </w:r>
      <w:r w:rsidRPr="00E471D4">
        <w:t>SGS-A-0068-2019</w:t>
      </w:r>
      <w:r>
        <w:t xml:space="preserve">, aquellas entidades que lo consideraron necesario podían aplicar lo dispuesto en este Acuerdo a partir del cierre de enero de 2020 y utilizar para el cálculo de las provisiones a diciembre de 2019 la tasa de interés única que determinaron conforme el SGS-A-0064-2018.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CD632" w14:textId="77777777" w:rsidR="006D3180" w:rsidRDefault="006D31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902EC" w14:textId="2C147EE4" w:rsidR="006D3180" w:rsidRPr="000C65EC" w:rsidRDefault="006D3180" w:rsidP="00ED2F0A">
    <w:pPr>
      <w:pStyle w:val="Encabezado"/>
      <w:shd w:val="clear" w:color="auto" w:fill="FFFFFF" w:themeFill="background1"/>
      <w:jc w:val="right"/>
      <w:rPr>
        <w:color w:val="002060"/>
        <w14:reflection w14:blurRad="0" w14:stA="48000" w14:stPos="0" w14:endA="0" w14:endPos="0" w14:dist="0" w14:dir="0" w14:fadeDir="0" w14:sx="0" w14:sy="0" w14:kx="0" w14:ky="0" w14:algn="b"/>
      </w:rPr>
    </w:pPr>
    <w:r w:rsidRPr="000C65EC">
      <w:rPr>
        <w:noProof/>
        <w:color w:val="002060"/>
        <w:lang w:val="en-US"/>
        <w14:reflection w14:blurRad="0" w14:stA="48000" w14:stPos="0" w14:endA="0" w14:endPos="0" w14:dist="0" w14:dir="0" w14:fadeDir="0" w14:sx="0" w14:sy="0" w14:kx="0" w14:ky="0" w14:algn="b"/>
      </w:rPr>
      <w:drawing>
        <wp:anchor distT="0" distB="0" distL="114300" distR="114300" simplePos="0" relativeHeight="251664384" behindDoc="0" locked="0" layoutInCell="1" allowOverlap="1" wp14:anchorId="53C902F3" wp14:editId="067CDAED">
          <wp:simplePos x="0" y="0"/>
          <wp:positionH relativeFrom="column">
            <wp:posOffset>-410284</wp:posOffset>
          </wp:positionH>
          <wp:positionV relativeFrom="paragraph">
            <wp:posOffset>-80517</wp:posOffset>
          </wp:positionV>
          <wp:extent cx="808075" cy="525655"/>
          <wp:effectExtent l="0" t="0" r="0" b="8255"/>
          <wp:wrapNone/>
          <wp:docPr id="215" name="Imagen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UGESE.bmp"/>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b="20591"/>
                  <a:stretch/>
                </pic:blipFill>
                <pic:spPr bwMode="auto">
                  <a:xfrm>
                    <a:off x="0" y="0"/>
                    <a:ext cx="827026" cy="5379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C902ED" w14:textId="42AC8209" w:rsidR="006D3180" w:rsidRDefault="006D3180" w:rsidP="00ED2F0A">
    <w:pPr>
      <w:pStyle w:val="Encabezado"/>
      <w:shd w:val="clear" w:color="auto" w:fill="FFFFFF" w:themeFill="background1"/>
      <w:jc w:val="right"/>
      <w:rPr>
        <w:color w:val="002060"/>
      </w:rPr>
    </w:pPr>
    <w:r w:rsidRPr="000C65EC">
      <w:rPr>
        <w:noProof/>
        <w:color w:val="002060"/>
        <w:lang w:val="en-US"/>
        <w14:reflection w14:blurRad="0" w14:stA="48000" w14:stPos="0" w14:endA="0" w14:endPos="0" w14:dist="0" w14:dir="0" w14:fadeDir="0" w14:sx="0" w14:sy="0" w14:kx="0" w14:ky="0" w14:algn="b"/>
      </w:rPr>
      <mc:AlternateContent>
        <mc:Choice Requires="wps">
          <w:drawing>
            <wp:anchor distT="45720" distB="45720" distL="114300" distR="114300" simplePos="0" relativeHeight="251661312" behindDoc="0" locked="0" layoutInCell="1" allowOverlap="1" wp14:anchorId="53C902F5" wp14:editId="6315F80F">
              <wp:simplePos x="0" y="0"/>
              <wp:positionH relativeFrom="column">
                <wp:posOffset>950595</wp:posOffset>
              </wp:positionH>
              <wp:positionV relativeFrom="paragraph">
                <wp:posOffset>40640</wp:posOffset>
              </wp:positionV>
              <wp:extent cx="5083810" cy="244475"/>
              <wp:effectExtent l="0" t="0" r="0" b="31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244475"/>
                      </a:xfrm>
                      <a:prstGeom prst="rect">
                        <a:avLst/>
                      </a:prstGeom>
                      <a:noFill/>
                      <a:ln w="9525">
                        <a:noFill/>
                        <a:miter lim="800000"/>
                        <a:headEnd/>
                        <a:tailEnd/>
                      </a:ln>
                    </wps:spPr>
                    <wps:txbx>
                      <w:txbxContent>
                        <w:p w14:paraId="53C902FF" w14:textId="3C9976F5" w:rsidR="006D3180" w:rsidRPr="000130AF" w:rsidRDefault="006D3180" w:rsidP="00E32039">
                          <w:pPr>
                            <w:pStyle w:val="Encabezado"/>
                            <w:shd w:val="clear" w:color="auto" w:fill="FFFFFF" w:themeFill="background1"/>
                            <w:jc w:val="right"/>
                            <w:rPr>
                              <w:color w:val="002060"/>
                              <w:sz w:val="20"/>
                              <w:szCs w:val="20"/>
                            </w:rPr>
                          </w:pPr>
                          <w:r w:rsidRPr="00E32039">
                            <w:rPr>
                              <w:rFonts w:ascii="Century Gothic" w:hAnsi="Century Gothic" w:cs="Century Gothic"/>
                              <w:bCs/>
                              <w:color w:val="002060"/>
                              <w:kern w:val="24"/>
                              <w:sz w:val="20"/>
                              <w:szCs w:val="20"/>
                            </w:rPr>
                            <w:t>Guía metodológica</w:t>
                          </w:r>
                          <w:r>
                            <w:rPr>
                              <w:rFonts w:ascii="Century Gothic" w:hAnsi="Century Gothic" w:cs="Century Gothic"/>
                              <w:bCs/>
                              <w:color w:val="002060"/>
                              <w:kern w:val="24"/>
                              <w:sz w:val="20"/>
                              <w:szCs w:val="20"/>
                            </w:rPr>
                            <w:t xml:space="preserve">: </w:t>
                          </w:r>
                          <w:r w:rsidRPr="006211F2">
                            <w:rPr>
                              <w:rFonts w:ascii="Century Gothic" w:hAnsi="Century Gothic" w:cs="Century Gothic"/>
                              <w:bCs/>
                              <w:color w:val="002060"/>
                              <w:kern w:val="24"/>
                              <w:sz w:val="20"/>
                              <w:szCs w:val="20"/>
                            </w:rPr>
                            <w:t>Cálculo de la curva de tipos de interés técnico 20</w:t>
                          </w:r>
                          <w:r>
                            <w:rPr>
                              <w:rFonts w:ascii="Century Gothic" w:hAnsi="Century Gothic" w:cs="Century Gothic"/>
                              <w:bCs/>
                              <w:color w:val="002060"/>
                              <w:kern w:val="24"/>
                              <w:sz w:val="20"/>
                              <w:szCs w:val="20"/>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C902F5" id="_x0000_t202" coordsize="21600,21600" o:spt="202" path="m,l,21600r21600,l21600,xe">
              <v:stroke joinstyle="miter"/>
              <v:path gradientshapeok="t" o:connecttype="rect"/>
            </v:shapetype>
            <v:shape id="Cuadro de texto 2" o:spid="_x0000_s1027" type="#_x0000_t202" style="position:absolute;left:0;text-align:left;margin-left:74.85pt;margin-top:3.2pt;width:400.3pt;height:1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" filled="f" stroked="f">
              <v:textbox>
                <w:txbxContent>
                  <w:p w14:paraId="53C902FF" w14:textId="3C9976F5" w:rsidR="006D3180" w:rsidRPr="000130AF" w:rsidRDefault="006D3180" w:rsidP="00E32039">
                    <w:pPr>
                      <w:pStyle w:val="Encabezado"/>
                      <w:shd w:val="clear" w:color="auto" w:fill="FFFFFF" w:themeFill="background1"/>
                      <w:jc w:val="right"/>
                      <w:rPr>
                        <w:color w:val="002060"/>
                        <w:sz w:val="20"/>
                        <w:szCs w:val="20"/>
                      </w:rPr>
                    </w:pPr>
                    <w:r w:rsidRPr="00E32039">
                      <w:rPr>
                        <w:rFonts w:ascii="Century Gothic" w:hAnsi="Century Gothic" w:cs="Century Gothic"/>
                        <w:bCs/>
                        <w:color w:val="002060"/>
                        <w:kern w:val="24"/>
                        <w:sz w:val="20"/>
                        <w:szCs w:val="20"/>
                      </w:rPr>
                      <w:t>Guía metodológica</w:t>
                    </w:r>
                    <w:r>
                      <w:rPr>
                        <w:rFonts w:ascii="Century Gothic" w:hAnsi="Century Gothic" w:cs="Century Gothic"/>
                        <w:bCs/>
                        <w:color w:val="002060"/>
                        <w:kern w:val="24"/>
                        <w:sz w:val="20"/>
                        <w:szCs w:val="20"/>
                      </w:rPr>
                      <w:t xml:space="preserve">: </w:t>
                    </w:r>
                    <w:r w:rsidRPr="006211F2">
                      <w:rPr>
                        <w:rFonts w:ascii="Century Gothic" w:hAnsi="Century Gothic" w:cs="Century Gothic"/>
                        <w:bCs/>
                        <w:color w:val="002060"/>
                        <w:kern w:val="24"/>
                        <w:sz w:val="20"/>
                        <w:szCs w:val="20"/>
                      </w:rPr>
                      <w:t>Cálculo de la curva de tipos de interés técnico 20</w:t>
                    </w:r>
                    <w:r>
                      <w:rPr>
                        <w:rFonts w:ascii="Century Gothic" w:hAnsi="Century Gothic" w:cs="Century Gothic"/>
                        <w:bCs/>
                        <w:color w:val="002060"/>
                        <w:kern w:val="24"/>
                        <w:sz w:val="20"/>
                        <w:szCs w:val="20"/>
                      </w:rPr>
                      <w:t>20</w:t>
                    </w:r>
                  </w:p>
                </w:txbxContent>
              </v:textbox>
              <w10:wrap type="square"/>
            </v:shape>
          </w:pict>
        </mc:Fallback>
      </mc:AlternateContent>
    </w:r>
  </w:p>
  <w:p w14:paraId="53C902EE" w14:textId="00612284" w:rsidR="006D3180" w:rsidRPr="006E6D98" w:rsidRDefault="006D3180" w:rsidP="00ED2F0A">
    <w:pPr>
      <w:pStyle w:val="Encabezado"/>
      <w:shd w:val="clear" w:color="auto" w:fill="FFFFFF" w:themeFill="background1"/>
      <w:jc w:val="right"/>
      <w:rPr>
        <w:color w:val="002060"/>
      </w:rPr>
    </w:pPr>
    <w:r>
      <w:rPr>
        <w:noProof/>
        <w:color w:val="002060"/>
        <w:lang w:val="en-US"/>
      </w:rPr>
      <mc:AlternateContent>
        <mc:Choice Requires="wps">
          <w:drawing>
            <wp:anchor distT="0" distB="0" distL="114300" distR="114300" simplePos="0" relativeHeight="251665408" behindDoc="0" locked="0" layoutInCell="1" allowOverlap="1" wp14:anchorId="53C902F9" wp14:editId="53C902FA">
              <wp:simplePos x="0" y="0"/>
              <wp:positionH relativeFrom="column">
                <wp:posOffset>-441960</wp:posOffset>
              </wp:positionH>
              <wp:positionV relativeFrom="paragraph">
                <wp:posOffset>98425</wp:posOffset>
              </wp:positionV>
              <wp:extent cx="6477000" cy="0"/>
              <wp:effectExtent l="0" t="0" r="19050" b="19050"/>
              <wp:wrapNone/>
              <wp:docPr id="22" name="Conector recto 22"/>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0FD369" id="Conector recto 2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4.8pt,7.75pt" to="475.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" strokecolor="#4f81bd [3204]" strokeweight=".5pt">
              <v:stroke joinstyle="miter"/>
            </v:line>
          </w:pict>
        </mc:Fallback>
      </mc:AlternateContent>
    </w:r>
  </w:p>
  <w:p w14:paraId="53C902EF" w14:textId="77777777" w:rsidR="006D3180" w:rsidRDefault="006D318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ACDE4" w14:textId="77777777" w:rsidR="006D3180" w:rsidRDefault="006D31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00DD0"/>
    <w:multiLevelType w:val="hybridMultilevel"/>
    <w:tmpl w:val="BD90B770"/>
    <w:lvl w:ilvl="0" w:tplc="140A000F">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0E3ADA"/>
    <w:multiLevelType w:val="hybridMultilevel"/>
    <w:tmpl w:val="F1BAFEB4"/>
    <w:lvl w:ilvl="0" w:tplc="9F60D81E">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C855B63"/>
    <w:multiLevelType w:val="hybridMultilevel"/>
    <w:tmpl w:val="7BB8AA26"/>
    <w:lvl w:ilvl="0" w:tplc="23FE5356">
      <w:start w:val="1"/>
      <w:numFmt w:val="upperRoman"/>
      <w:lvlText w:val="%1."/>
      <w:lvlJc w:val="left"/>
      <w:pPr>
        <w:ind w:left="6958" w:hanging="720"/>
      </w:pPr>
      <w:rPr>
        <w:rFonts w:ascii="Century Gothic" w:hAnsi="Century Gothic" w:hint="default"/>
        <w:color w:val="365F91" w:themeColor="accent1" w:themeShade="BF"/>
        <w:sz w:val="28"/>
        <w:szCs w:val="2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E142C51"/>
    <w:multiLevelType w:val="hybridMultilevel"/>
    <w:tmpl w:val="E63E8A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0953D51"/>
    <w:multiLevelType w:val="hybridMultilevel"/>
    <w:tmpl w:val="142EA7A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1AD2CCD"/>
    <w:multiLevelType w:val="hybridMultilevel"/>
    <w:tmpl w:val="C53298B0"/>
    <w:lvl w:ilvl="0" w:tplc="9F60D81E">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36175D4"/>
    <w:multiLevelType w:val="hybridMultilevel"/>
    <w:tmpl w:val="609E2AC0"/>
    <w:lvl w:ilvl="0" w:tplc="8B04A4B2">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569678D"/>
    <w:multiLevelType w:val="hybridMultilevel"/>
    <w:tmpl w:val="325A187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5FB34F5"/>
    <w:multiLevelType w:val="hybridMultilevel"/>
    <w:tmpl w:val="A192F00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7193066"/>
    <w:multiLevelType w:val="hybridMultilevel"/>
    <w:tmpl w:val="D034E488"/>
    <w:lvl w:ilvl="0" w:tplc="9F60D81E">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7A4004A"/>
    <w:multiLevelType w:val="hybridMultilevel"/>
    <w:tmpl w:val="84A06D20"/>
    <w:lvl w:ilvl="0" w:tplc="D43A4092">
      <w:start w:val="1"/>
      <w:numFmt w:val="bullet"/>
      <w:lvlText w:val="•"/>
      <w:lvlJc w:val="left"/>
      <w:pPr>
        <w:tabs>
          <w:tab w:val="num" w:pos="360"/>
        </w:tabs>
        <w:ind w:left="360" w:hanging="360"/>
      </w:pPr>
      <w:rPr>
        <w:rFonts w:ascii="Arial" w:hAnsi="Arial" w:hint="default"/>
      </w:rPr>
    </w:lvl>
    <w:lvl w:ilvl="1" w:tplc="A32E8EFC">
      <w:start w:val="1"/>
      <w:numFmt w:val="bullet"/>
      <w:lvlText w:val="•"/>
      <w:lvlJc w:val="left"/>
      <w:pPr>
        <w:tabs>
          <w:tab w:val="num" w:pos="1080"/>
        </w:tabs>
        <w:ind w:left="1080" w:hanging="360"/>
      </w:pPr>
      <w:rPr>
        <w:rFonts w:ascii="Arial" w:hAnsi="Arial" w:hint="default"/>
      </w:rPr>
    </w:lvl>
    <w:lvl w:ilvl="2" w:tplc="02AAB534" w:tentative="1">
      <w:start w:val="1"/>
      <w:numFmt w:val="bullet"/>
      <w:lvlText w:val="•"/>
      <w:lvlJc w:val="left"/>
      <w:pPr>
        <w:tabs>
          <w:tab w:val="num" w:pos="1800"/>
        </w:tabs>
        <w:ind w:left="1800" w:hanging="360"/>
      </w:pPr>
      <w:rPr>
        <w:rFonts w:ascii="Arial" w:hAnsi="Arial" w:hint="default"/>
      </w:rPr>
    </w:lvl>
    <w:lvl w:ilvl="3" w:tplc="0A18A9BE" w:tentative="1">
      <w:start w:val="1"/>
      <w:numFmt w:val="bullet"/>
      <w:lvlText w:val="•"/>
      <w:lvlJc w:val="left"/>
      <w:pPr>
        <w:tabs>
          <w:tab w:val="num" w:pos="2520"/>
        </w:tabs>
        <w:ind w:left="2520" w:hanging="360"/>
      </w:pPr>
      <w:rPr>
        <w:rFonts w:ascii="Arial" w:hAnsi="Arial" w:hint="default"/>
      </w:rPr>
    </w:lvl>
    <w:lvl w:ilvl="4" w:tplc="64022A5E" w:tentative="1">
      <w:start w:val="1"/>
      <w:numFmt w:val="bullet"/>
      <w:lvlText w:val="•"/>
      <w:lvlJc w:val="left"/>
      <w:pPr>
        <w:tabs>
          <w:tab w:val="num" w:pos="3240"/>
        </w:tabs>
        <w:ind w:left="3240" w:hanging="360"/>
      </w:pPr>
      <w:rPr>
        <w:rFonts w:ascii="Arial" w:hAnsi="Arial" w:hint="default"/>
      </w:rPr>
    </w:lvl>
    <w:lvl w:ilvl="5" w:tplc="AF58666C" w:tentative="1">
      <w:start w:val="1"/>
      <w:numFmt w:val="bullet"/>
      <w:lvlText w:val="•"/>
      <w:lvlJc w:val="left"/>
      <w:pPr>
        <w:tabs>
          <w:tab w:val="num" w:pos="3960"/>
        </w:tabs>
        <w:ind w:left="3960" w:hanging="360"/>
      </w:pPr>
      <w:rPr>
        <w:rFonts w:ascii="Arial" w:hAnsi="Arial" w:hint="default"/>
      </w:rPr>
    </w:lvl>
    <w:lvl w:ilvl="6" w:tplc="A058E392" w:tentative="1">
      <w:start w:val="1"/>
      <w:numFmt w:val="bullet"/>
      <w:lvlText w:val="•"/>
      <w:lvlJc w:val="left"/>
      <w:pPr>
        <w:tabs>
          <w:tab w:val="num" w:pos="4680"/>
        </w:tabs>
        <w:ind w:left="4680" w:hanging="360"/>
      </w:pPr>
      <w:rPr>
        <w:rFonts w:ascii="Arial" w:hAnsi="Arial" w:hint="default"/>
      </w:rPr>
    </w:lvl>
    <w:lvl w:ilvl="7" w:tplc="05166DF4" w:tentative="1">
      <w:start w:val="1"/>
      <w:numFmt w:val="bullet"/>
      <w:lvlText w:val="•"/>
      <w:lvlJc w:val="left"/>
      <w:pPr>
        <w:tabs>
          <w:tab w:val="num" w:pos="5400"/>
        </w:tabs>
        <w:ind w:left="5400" w:hanging="360"/>
      </w:pPr>
      <w:rPr>
        <w:rFonts w:ascii="Arial" w:hAnsi="Arial" w:hint="default"/>
      </w:rPr>
    </w:lvl>
    <w:lvl w:ilvl="8" w:tplc="AAF024F2"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BC261E9"/>
    <w:multiLevelType w:val="hybridMultilevel"/>
    <w:tmpl w:val="C0F87422"/>
    <w:lvl w:ilvl="0" w:tplc="9F60D81E">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E600BC"/>
    <w:multiLevelType w:val="hybridMultilevel"/>
    <w:tmpl w:val="D7B261D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5DC7EF5"/>
    <w:multiLevelType w:val="hybridMultilevel"/>
    <w:tmpl w:val="9962ED14"/>
    <w:lvl w:ilvl="0" w:tplc="2070EA14">
      <w:start w:val="1"/>
      <w:numFmt w:val="decimal"/>
      <w:lvlText w:val="%1."/>
      <w:lvlJc w:val="left"/>
      <w:pPr>
        <w:ind w:left="720" w:hanging="360"/>
      </w:pPr>
      <w:rPr>
        <w:rFonts w:ascii="Century Gothic" w:eastAsiaTheme="majorEastAsia" w:hAnsi="Century Gothic" w:cstheme="majorBidi" w:hint="default"/>
        <w:b/>
        <w:color w:val="365F91" w:themeColor="accent1" w:themeShade="BF"/>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67B4185"/>
    <w:multiLevelType w:val="hybridMultilevel"/>
    <w:tmpl w:val="C886769E"/>
    <w:lvl w:ilvl="0" w:tplc="F65CC290">
      <w:start w:val="1"/>
      <w:numFmt w:val="low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5" w15:restartNumberingAfterBreak="0">
    <w:nsid w:val="38E60806"/>
    <w:multiLevelType w:val="hybridMultilevel"/>
    <w:tmpl w:val="F2B6B6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C886118"/>
    <w:multiLevelType w:val="hybridMultilevel"/>
    <w:tmpl w:val="9962ED14"/>
    <w:lvl w:ilvl="0" w:tplc="2070EA14">
      <w:start w:val="1"/>
      <w:numFmt w:val="decimal"/>
      <w:lvlText w:val="%1."/>
      <w:lvlJc w:val="left"/>
      <w:pPr>
        <w:ind w:left="720" w:hanging="360"/>
      </w:pPr>
      <w:rPr>
        <w:rFonts w:ascii="Century Gothic" w:eastAsiaTheme="majorEastAsia" w:hAnsi="Century Gothic" w:cstheme="majorBidi" w:hint="default"/>
        <w:b/>
        <w:color w:val="365F91" w:themeColor="accent1" w:themeShade="BF"/>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50E7B5E"/>
    <w:multiLevelType w:val="hybridMultilevel"/>
    <w:tmpl w:val="10CA89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8CE4A0F"/>
    <w:multiLevelType w:val="hybridMultilevel"/>
    <w:tmpl w:val="9962ED14"/>
    <w:lvl w:ilvl="0" w:tplc="2070EA14">
      <w:start w:val="1"/>
      <w:numFmt w:val="decimal"/>
      <w:lvlText w:val="%1."/>
      <w:lvlJc w:val="left"/>
      <w:pPr>
        <w:ind w:left="720" w:hanging="360"/>
      </w:pPr>
      <w:rPr>
        <w:rFonts w:ascii="Century Gothic" w:eastAsiaTheme="majorEastAsia" w:hAnsi="Century Gothic" w:cstheme="majorBidi" w:hint="default"/>
        <w:b/>
        <w:color w:val="365F91" w:themeColor="accent1" w:themeShade="BF"/>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BE41CB1"/>
    <w:multiLevelType w:val="hybridMultilevel"/>
    <w:tmpl w:val="B79A3338"/>
    <w:lvl w:ilvl="0" w:tplc="5D8A0096">
      <w:start w:val="2"/>
      <w:numFmt w:val="bullet"/>
      <w:lvlText w:val="-"/>
      <w:lvlJc w:val="left"/>
      <w:pPr>
        <w:ind w:left="780" w:hanging="360"/>
      </w:pPr>
      <w:rPr>
        <w:rFonts w:ascii="Cambria" w:eastAsiaTheme="minorEastAsia" w:hAnsi="Cambria" w:cstheme="minorHAnsi"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20" w15:restartNumberingAfterBreak="0">
    <w:nsid w:val="4D5D3650"/>
    <w:multiLevelType w:val="hybridMultilevel"/>
    <w:tmpl w:val="D76C07BC"/>
    <w:lvl w:ilvl="0" w:tplc="FB9AFB00">
      <w:start w:val="1"/>
      <w:numFmt w:val="bullet"/>
      <w:lvlText w:val="•"/>
      <w:lvlJc w:val="left"/>
      <w:pPr>
        <w:tabs>
          <w:tab w:val="num" w:pos="360"/>
        </w:tabs>
        <w:ind w:left="360" w:hanging="360"/>
      </w:pPr>
      <w:rPr>
        <w:rFonts w:ascii="Arial" w:hAnsi="Arial" w:hint="default"/>
      </w:rPr>
    </w:lvl>
    <w:lvl w:ilvl="1" w:tplc="CB201FA4" w:tentative="1">
      <w:start w:val="1"/>
      <w:numFmt w:val="bullet"/>
      <w:lvlText w:val="•"/>
      <w:lvlJc w:val="left"/>
      <w:pPr>
        <w:tabs>
          <w:tab w:val="num" w:pos="1080"/>
        </w:tabs>
        <w:ind w:left="1080" w:hanging="360"/>
      </w:pPr>
      <w:rPr>
        <w:rFonts w:ascii="Arial" w:hAnsi="Arial" w:hint="default"/>
      </w:rPr>
    </w:lvl>
    <w:lvl w:ilvl="2" w:tplc="42C617C8" w:tentative="1">
      <w:start w:val="1"/>
      <w:numFmt w:val="bullet"/>
      <w:lvlText w:val="•"/>
      <w:lvlJc w:val="left"/>
      <w:pPr>
        <w:tabs>
          <w:tab w:val="num" w:pos="1800"/>
        </w:tabs>
        <w:ind w:left="1800" w:hanging="360"/>
      </w:pPr>
      <w:rPr>
        <w:rFonts w:ascii="Arial" w:hAnsi="Arial" w:hint="default"/>
      </w:rPr>
    </w:lvl>
    <w:lvl w:ilvl="3" w:tplc="B7F2614E" w:tentative="1">
      <w:start w:val="1"/>
      <w:numFmt w:val="bullet"/>
      <w:lvlText w:val="•"/>
      <w:lvlJc w:val="left"/>
      <w:pPr>
        <w:tabs>
          <w:tab w:val="num" w:pos="2520"/>
        </w:tabs>
        <w:ind w:left="2520" w:hanging="360"/>
      </w:pPr>
      <w:rPr>
        <w:rFonts w:ascii="Arial" w:hAnsi="Arial" w:hint="default"/>
      </w:rPr>
    </w:lvl>
    <w:lvl w:ilvl="4" w:tplc="6DA842E0" w:tentative="1">
      <w:start w:val="1"/>
      <w:numFmt w:val="bullet"/>
      <w:lvlText w:val="•"/>
      <w:lvlJc w:val="left"/>
      <w:pPr>
        <w:tabs>
          <w:tab w:val="num" w:pos="3240"/>
        </w:tabs>
        <w:ind w:left="3240" w:hanging="360"/>
      </w:pPr>
      <w:rPr>
        <w:rFonts w:ascii="Arial" w:hAnsi="Arial" w:hint="default"/>
      </w:rPr>
    </w:lvl>
    <w:lvl w:ilvl="5" w:tplc="F67A3ED8" w:tentative="1">
      <w:start w:val="1"/>
      <w:numFmt w:val="bullet"/>
      <w:lvlText w:val="•"/>
      <w:lvlJc w:val="left"/>
      <w:pPr>
        <w:tabs>
          <w:tab w:val="num" w:pos="3960"/>
        </w:tabs>
        <w:ind w:left="3960" w:hanging="360"/>
      </w:pPr>
      <w:rPr>
        <w:rFonts w:ascii="Arial" w:hAnsi="Arial" w:hint="default"/>
      </w:rPr>
    </w:lvl>
    <w:lvl w:ilvl="6" w:tplc="4A40F858" w:tentative="1">
      <w:start w:val="1"/>
      <w:numFmt w:val="bullet"/>
      <w:lvlText w:val="•"/>
      <w:lvlJc w:val="left"/>
      <w:pPr>
        <w:tabs>
          <w:tab w:val="num" w:pos="4680"/>
        </w:tabs>
        <w:ind w:left="4680" w:hanging="360"/>
      </w:pPr>
      <w:rPr>
        <w:rFonts w:ascii="Arial" w:hAnsi="Arial" w:hint="default"/>
      </w:rPr>
    </w:lvl>
    <w:lvl w:ilvl="7" w:tplc="DBC47CFA" w:tentative="1">
      <w:start w:val="1"/>
      <w:numFmt w:val="bullet"/>
      <w:lvlText w:val="•"/>
      <w:lvlJc w:val="left"/>
      <w:pPr>
        <w:tabs>
          <w:tab w:val="num" w:pos="5400"/>
        </w:tabs>
        <w:ind w:left="5400" w:hanging="360"/>
      </w:pPr>
      <w:rPr>
        <w:rFonts w:ascii="Arial" w:hAnsi="Arial" w:hint="default"/>
      </w:rPr>
    </w:lvl>
    <w:lvl w:ilvl="8" w:tplc="DFC87A08"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57E22F87"/>
    <w:multiLevelType w:val="hybridMultilevel"/>
    <w:tmpl w:val="117076E4"/>
    <w:lvl w:ilvl="0" w:tplc="0B7A9628">
      <w:start w:val="1"/>
      <w:numFmt w:val="decimal"/>
      <w:lvlText w:val="%1."/>
      <w:lvlJc w:val="left"/>
      <w:pPr>
        <w:ind w:left="720" w:hanging="360"/>
      </w:pPr>
      <w:rPr>
        <w:rFonts w:asciiTheme="majorHAnsi" w:eastAsiaTheme="majorEastAsia" w:hAnsiTheme="majorHAnsi" w:cstheme="majorBidi" w:hint="default"/>
        <w:b/>
        <w:color w:val="365F91" w:themeColor="accent1" w:themeShade="BF"/>
        <w:sz w:val="26"/>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A9843EB"/>
    <w:multiLevelType w:val="hybridMultilevel"/>
    <w:tmpl w:val="A0729DE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DC45FD0"/>
    <w:multiLevelType w:val="hybridMultilevel"/>
    <w:tmpl w:val="D590B12E"/>
    <w:lvl w:ilvl="0" w:tplc="140A0001">
      <w:start w:val="1"/>
      <w:numFmt w:val="bullet"/>
      <w:lvlText w:val=""/>
      <w:lvlJc w:val="left"/>
      <w:pPr>
        <w:ind w:left="732" w:hanging="360"/>
      </w:pPr>
      <w:rPr>
        <w:rFonts w:ascii="Symbol" w:hAnsi="Symbol" w:hint="default"/>
      </w:rPr>
    </w:lvl>
    <w:lvl w:ilvl="1" w:tplc="140A0003" w:tentative="1">
      <w:start w:val="1"/>
      <w:numFmt w:val="bullet"/>
      <w:lvlText w:val="o"/>
      <w:lvlJc w:val="left"/>
      <w:pPr>
        <w:ind w:left="1452" w:hanging="360"/>
      </w:pPr>
      <w:rPr>
        <w:rFonts w:ascii="Courier New" w:hAnsi="Courier New" w:cs="Courier New" w:hint="default"/>
      </w:rPr>
    </w:lvl>
    <w:lvl w:ilvl="2" w:tplc="140A0005" w:tentative="1">
      <w:start w:val="1"/>
      <w:numFmt w:val="bullet"/>
      <w:lvlText w:val=""/>
      <w:lvlJc w:val="left"/>
      <w:pPr>
        <w:ind w:left="2172" w:hanging="360"/>
      </w:pPr>
      <w:rPr>
        <w:rFonts w:ascii="Wingdings" w:hAnsi="Wingdings" w:hint="default"/>
      </w:rPr>
    </w:lvl>
    <w:lvl w:ilvl="3" w:tplc="140A0001" w:tentative="1">
      <w:start w:val="1"/>
      <w:numFmt w:val="bullet"/>
      <w:lvlText w:val=""/>
      <w:lvlJc w:val="left"/>
      <w:pPr>
        <w:ind w:left="2892" w:hanging="360"/>
      </w:pPr>
      <w:rPr>
        <w:rFonts w:ascii="Symbol" w:hAnsi="Symbol" w:hint="default"/>
      </w:rPr>
    </w:lvl>
    <w:lvl w:ilvl="4" w:tplc="140A0003" w:tentative="1">
      <w:start w:val="1"/>
      <w:numFmt w:val="bullet"/>
      <w:lvlText w:val="o"/>
      <w:lvlJc w:val="left"/>
      <w:pPr>
        <w:ind w:left="3612" w:hanging="360"/>
      </w:pPr>
      <w:rPr>
        <w:rFonts w:ascii="Courier New" w:hAnsi="Courier New" w:cs="Courier New" w:hint="default"/>
      </w:rPr>
    </w:lvl>
    <w:lvl w:ilvl="5" w:tplc="140A0005" w:tentative="1">
      <w:start w:val="1"/>
      <w:numFmt w:val="bullet"/>
      <w:lvlText w:val=""/>
      <w:lvlJc w:val="left"/>
      <w:pPr>
        <w:ind w:left="4332" w:hanging="360"/>
      </w:pPr>
      <w:rPr>
        <w:rFonts w:ascii="Wingdings" w:hAnsi="Wingdings" w:hint="default"/>
      </w:rPr>
    </w:lvl>
    <w:lvl w:ilvl="6" w:tplc="140A0001" w:tentative="1">
      <w:start w:val="1"/>
      <w:numFmt w:val="bullet"/>
      <w:lvlText w:val=""/>
      <w:lvlJc w:val="left"/>
      <w:pPr>
        <w:ind w:left="5052" w:hanging="360"/>
      </w:pPr>
      <w:rPr>
        <w:rFonts w:ascii="Symbol" w:hAnsi="Symbol" w:hint="default"/>
      </w:rPr>
    </w:lvl>
    <w:lvl w:ilvl="7" w:tplc="140A0003" w:tentative="1">
      <w:start w:val="1"/>
      <w:numFmt w:val="bullet"/>
      <w:lvlText w:val="o"/>
      <w:lvlJc w:val="left"/>
      <w:pPr>
        <w:ind w:left="5772" w:hanging="360"/>
      </w:pPr>
      <w:rPr>
        <w:rFonts w:ascii="Courier New" w:hAnsi="Courier New" w:cs="Courier New" w:hint="default"/>
      </w:rPr>
    </w:lvl>
    <w:lvl w:ilvl="8" w:tplc="140A0005" w:tentative="1">
      <w:start w:val="1"/>
      <w:numFmt w:val="bullet"/>
      <w:lvlText w:val=""/>
      <w:lvlJc w:val="left"/>
      <w:pPr>
        <w:ind w:left="6492" w:hanging="360"/>
      </w:pPr>
      <w:rPr>
        <w:rFonts w:ascii="Wingdings" w:hAnsi="Wingdings" w:hint="default"/>
      </w:rPr>
    </w:lvl>
  </w:abstractNum>
  <w:abstractNum w:abstractNumId="24" w15:restartNumberingAfterBreak="0">
    <w:nsid w:val="5E193666"/>
    <w:multiLevelType w:val="hybridMultilevel"/>
    <w:tmpl w:val="E1CE3A78"/>
    <w:lvl w:ilvl="0" w:tplc="83B2C23A">
      <w:start w:val="1"/>
      <w:numFmt w:val="lowerLetter"/>
      <w:lvlText w:val="%1."/>
      <w:lvlJc w:val="left"/>
      <w:pPr>
        <w:ind w:left="1080" w:hanging="360"/>
      </w:pPr>
      <w:rPr>
        <w:rFonts w:hint="default"/>
        <w:i/>
      </w:r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5" w15:restartNumberingAfterBreak="0">
    <w:nsid w:val="5E581C4B"/>
    <w:multiLevelType w:val="hybridMultilevel"/>
    <w:tmpl w:val="4B209A1A"/>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6" w15:restartNumberingAfterBreak="0">
    <w:nsid w:val="655C58BA"/>
    <w:multiLevelType w:val="hybridMultilevel"/>
    <w:tmpl w:val="D8DE7226"/>
    <w:lvl w:ilvl="0" w:tplc="BC9078D4">
      <w:start w:val="1"/>
      <w:numFmt w:val="decimal"/>
      <w:lvlText w:val="%1."/>
      <w:lvlJc w:val="left"/>
      <w:pPr>
        <w:ind w:left="720" w:hanging="360"/>
      </w:pPr>
      <w:rPr>
        <w:rFonts w:ascii="Century Gothic" w:hAnsi="Century Gothic" w:hint="default"/>
        <w:b/>
        <w:color w:val="1F497D" w:themeColor="text2"/>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A8F461A"/>
    <w:multiLevelType w:val="hybridMultilevel"/>
    <w:tmpl w:val="501CB8A4"/>
    <w:lvl w:ilvl="0" w:tplc="9F60D81E">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DB86FD0"/>
    <w:multiLevelType w:val="hybridMultilevel"/>
    <w:tmpl w:val="A380117A"/>
    <w:lvl w:ilvl="0" w:tplc="9F60D81E">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FAF5BCC"/>
    <w:multiLevelType w:val="hybridMultilevel"/>
    <w:tmpl w:val="D78A51E8"/>
    <w:lvl w:ilvl="0" w:tplc="A6742678">
      <w:start w:val="1"/>
      <w:numFmt w:val="bullet"/>
      <w:lvlText w:val="•"/>
      <w:lvlJc w:val="left"/>
      <w:pPr>
        <w:tabs>
          <w:tab w:val="num" w:pos="360"/>
        </w:tabs>
        <w:ind w:left="360" w:hanging="360"/>
      </w:pPr>
      <w:rPr>
        <w:rFonts w:ascii="Arial" w:hAnsi="Arial" w:hint="default"/>
      </w:rPr>
    </w:lvl>
    <w:lvl w:ilvl="1" w:tplc="0FA460DC" w:tentative="1">
      <w:start w:val="1"/>
      <w:numFmt w:val="bullet"/>
      <w:lvlText w:val="•"/>
      <w:lvlJc w:val="left"/>
      <w:pPr>
        <w:tabs>
          <w:tab w:val="num" w:pos="1080"/>
        </w:tabs>
        <w:ind w:left="1080" w:hanging="360"/>
      </w:pPr>
      <w:rPr>
        <w:rFonts w:ascii="Arial" w:hAnsi="Arial" w:hint="default"/>
      </w:rPr>
    </w:lvl>
    <w:lvl w:ilvl="2" w:tplc="4AD2B97E" w:tentative="1">
      <w:start w:val="1"/>
      <w:numFmt w:val="bullet"/>
      <w:lvlText w:val="•"/>
      <w:lvlJc w:val="left"/>
      <w:pPr>
        <w:tabs>
          <w:tab w:val="num" w:pos="1800"/>
        </w:tabs>
        <w:ind w:left="1800" w:hanging="360"/>
      </w:pPr>
      <w:rPr>
        <w:rFonts w:ascii="Arial" w:hAnsi="Arial" w:hint="default"/>
      </w:rPr>
    </w:lvl>
    <w:lvl w:ilvl="3" w:tplc="BF607E72" w:tentative="1">
      <w:start w:val="1"/>
      <w:numFmt w:val="bullet"/>
      <w:lvlText w:val="•"/>
      <w:lvlJc w:val="left"/>
      <w:pPr>
        <w:tabs>
          <w:tab w:val="num" w:pos="2520"/>
        </w:tabs>
        <w:ind w:left="2520" w:hanging="360"/>
      </w:pPr>
      <w:rPr>
        <w:rFonts w:ascii="Arial" w:hAnsi="Arial" w:hint="default"/>
      </w:rPr>
    </w:lvl>
    <w:lvl w:ilvl="4" w:tplc="4A52B55E" w:tentative="1">
      <w:start w:val="1"/>
      <w:numFmt w:val="bullet"/>
      <w:lvlText w:val="•"/>
      <w:lvlJc w:val="left"/>
      <w:pPr>
        <w:tabs>
          <w:tab w:val="num" w:pos="3240"/>
        </w:tabs>
        <w:ind w:left="3240" w:hanging="360"/>
      </w:pPr>
      <w:rPr>
        <w:rFonts w:ascii="Arial" w:hAnsi="Arial" w:hint="default"/>
      </w:rPr>
    </w:lvl>
    <w:lvl w:ilvl="5" w:tplc="5BBA81B0" w:tentative="1">
      <w:start w:val="1"/>
      <w:numFmt w:val="bullet"/>
      <w:lvlText w:val="•"/>
      <w:lvlJc w:val="left"/>
      <w:pPr>
        <w:tabs>
          <w:tab w:val="num" w:pos="3960"/>
        </w:tabs>
        <w:ind w:left="3960" w:hanging="360"/>
      </w:pPr>
      <w:rPr>
        <w:rFonts w:ascii="Arial" w:hAnsi="Arial" w:hint="default"/>
      </w:rPr>
    </w:lvl>
    <w:lvl w:ilvl="6" w:tplc="A4B41D46" w:tentative="1">
      <w:start w:val="1"/>
      <w:numFmt w:val="bullet"/>
      <w:lvlText w:val="•"/>
      <w:lvlJc w:val="left"/>
      <w:pPr>
        <w:tabs>
          <w:tab w:val="num" w:pos="4680"/>
        </w:tabs>
        <w:ind w:left="4680" w:hanging="360"/>
      </w:pPr>
      <w:rPr>
        <w:rFonts w:ascii="Arial" w:hAnsi="Arial" w:hint="default"/>
      </w:rPr>
    </w:lvl>
    <w:lvl w:ilvl="7" w:tplc="84B6BB14" w:tentative="1">
      <w:start w:val="1"/>
      <w:numFmt w:val="bullet"/>
      <w:lvlText w:val="•"/>
      <w:lvlJc w:val="left"/>
      <w:pPr>
        <w:tabs>
          <w:tab w:val="num" w:pos="5400"/>
        </w:tabs>
        <w:ind w:left="5400" w:hanging="360"/>
      </w:pPr>
      <w:rPr>
        <w:rFonts w:ascii="Arial" w:hAnsi="Arial" w:hint="default"/>
      </w:rPr>
    </w:lvl>
    <w:lvl w:ilvl="8" w:tplc="A7667AF0"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71B20E30"/>
    <w:multiLevelType w:val="hybridMultilevel"/>
    <w:tmpl w:val="EFF29FAA"/>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1" w15:restartNumberingAfterBreak="0">
    <w:nsid w:val="75E821D1"/>
    <w:multiLevelType w:val="hybridMultilevel"/>
    <w:tmpl w:val="16FE75D8"/>
    <w:lvl w:ilvl="0" w:tplc="4DE4A43A">
      <w:start w:val="1"/>
      <w:numFmt w:val="bullet"/>
      <w:lvlText w:val="•"/>
      <w:lvlJc w:val="left"/>
      <w:pPr>
        <w:tabs>
          <w:tab w:val="num" w:pos="360"/>
        </w:tabs>
        <w:ind w:left="360" w:hanging="360"/>
      </w:pPr>
      <w:rPr>
        <w:rFonts w:ascii="Arial" w:hAnsi="Arial" w:hint="default"/>
      </w:rPr>
    </w:lvl>
    <w:lvl w:ilvl="1" w:tplc="C736EA2C" w:tentative="1">
      <w:start w:val="1"/>
      <w:numFmt w:val="bullet"/>
      <w:lvlText w:val="•"/>
      <w:lvlJc w:val="left"/>
      <w:pPr>
        <w:tabs>
          <w:tab w:val="num" w:pos="1080"/>
        </w:tabs>
        <w:ind w:left="1080" w:hanging="360"/>
      </w:pPr>
      <w:rPr>
        <w:rFonts w:ascii="Arial" w:hAnsi="Arial" w:hint="default"/>
      </w:rPr>
    </w:lvl>
    <w:lvl w:ilvl="2" w:tplc="29B2EDB8" w:tentative="1">
      <w:start w:val="1"/>
      <w:numFmt w:val="bullet"/>
      <w:lvlText w:val="•"/>
      <w:lvlJc w:val="left"/>
      <w:pPr>
        <w:tabs>
          <w:tab w:val="num" w:pos="1800"/>
        </w:tabs>
        <w:ind w:left="1800" w:hanging="360"/>
      </w:pPr>
      <w:rPr>
        <w:rFonts w:ascii="Arial" w:hAnsi="Arial" w:hint="default"/>
      </w:rPr>
    </w:lvl>
    <w:lvl w:ilvl="3" w:tplc="6F54831E" w:tentative="1">
      <w:start w:val="1"/>
      <w:numFmt w:val="bullet"/>
      <w:lvlText w:val="•"/>
      <w:lvlJc w:val="left"/>
      <w:pPr>
        <w:tabs>
          <w:tab w:val="num" w:pos="2520"/>
        </w:tabs>
        <w:ind w:left="2520" w:hanging="360"/>
      </w:pPr>
      <w:rPr>
        <w:rFonts w:ascii="Arial" w:hAnsi="Arial" w:hint="default"/>
      </w:rPr>
    </w:lvl>
    <w:lvl w:ilvl="4" w:tplc="B8565CB2" w:tentative="1">
      <w:start w:val="1"/>
      <w:numFmt w:val="bullet"/>
      <w:lvlText w:val="•"/>
      <w:lvlJc w:val="left"/>
      <w:pPr>
        <w:tabs>
          <w:tab w:val="num" w:pos="3240"/>
        </w:tabs>
        <w:ind w:left="3240" w:hanging="360"/>
      </w:pPr>
      <w:rPr>
        <w:rFonts w:ascii="Arial" w:hAnsi="Arial" w:hint="default"/>
      </w:rPr>
    </w:lvl>
    <w:lvl w:ilvl="5" w:tplc="9752C0D8" w:tentative="1">
      <w:start w:val="1"/>
      <w:numFmt w:val="bullet"/>
      <w:lvlText w:val="•"/>
      <w:lvlJc w:val="left"/>
      <w:pPr>
        <w:tabs>
          <w:tab w:val="num" w:pos="3960"/>
        </w:tabs>
        <w:ind w:left="3960" w:hanging="360"/>
      </w:pPr>
      <w:rPr>
        <w:rFonts w:ascii="Arial" w:hAnsi="Arial" w:hint="default"/>
      </w:rPr>
    </w:lvl>
    <w:lvl w:ilvl="6" w:tplc="97C265BE" w:tentative="1">
      <w:start w:val="1"/>
      <w:numFmt w:val="bullet"/>
      <w:lvlText w:val="•"/>
      <w:lvlJc w:val="left"/>
      <w:pPr>
        <w:tabs>
          <w:tab w:val="num" w:pos="4680"/>
        </w:tabs>
        <w:ind w:left="4680" w:hanging="360"/>
      </w:pPr>
      <w:rPr>
        <w:rFonts w:ascii="Arial" w:hAnsi="Arial" w:hint="default"/>
      </w:rPr>
    </w:lvl>
    <w:lvl w:ilvl="7" w:tplc="BB64630E" w:tentative="1">
      <w:start w:val="1"/>
      <w:numFmt w:val="bullet"/>
      <w:lvlText w:val="•"/>
      <w:lvlJc w:val="left"/>
      <w:pPr>
        <w:tabs>
          <w:tab w:val="num" w:pos="5400"/>
        </w:tabs>
        <w:ind w:left="5400" w:hanging="360"/>
      </w:pPr>
      <w:rPr>
        <w:rFonts w:ascii="Arial" w:hAnsi="Arial" w:hint="default"/>
      </w:rPr>
    </w:lvl>
    <w:lvl w:ilvl="8" w:tplc="67801C88"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7ACA6E82"/>
    <w:multiLevelType w:val="hybridMultilevel"/>
    <w:tmpl w:val="9C7A98C0"/>
    <w:lvl w:ilvl="0" w:tplc="9F60D81E">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0"/>
  </w:num>
  <w:num w:numId="5">
    <w:abstractNumId w:val="20"/>
  </w:num>
  <w:num w:numId="6">
    <w:abstractNumId w:val="31"/>
  </w:num>
  <w:num w:numId="7">
    <w:abstractNumId w:val="29"/>
  </w:num>
  <w:num w:numId="8">
    <w:abstractNumId w:val="23"/>
  </w:num>
  <w:num w:numId="9">
    <w:abstractNumId w:val="8"/>
  </w:num>
  <w:num w:numId="10">
    <w:abstractNumId w:val="0"/>
  </w:num>
  <w:num w:numId="11">
    <w:abstractNumId w:val="22"/>
  </w:num>
  <w:num w:numId="12">
    <w:abstractNumId w:val="32"/>
  </w:num>
  <w:num w:numId="13">
    <w:abstractNumId w:val="11"/>
  </w:num>
  <w:num w:numId="14">
    <w:abstractNumId w:val="9"/>
  </w:num>
  <w:num w:numId="15">
    <w:abstractNumId w:val="27"/>
  </w:num>
  <w:num w:numId="16">
    <w:abstractNumId w:val="28"/>
  </w:num>
  <w:num w:numId="17">
    <w:abstractNumId w:val="5"/>
  </w:num>
  <w:num w:numId="18">
    <w:abstractNumId w:val="6"/>
  </w:num>
  <w:num w:numId="19">
    <w:abstractNumId w:val="24"/>
  </w:num>
  <w:num w:numId="20">
    <w:abstractNumId w:val="15"/>
  </w:num>
  <w:num w:numId="21">
    <w:abstractNumId w:val="12"/>
  </w:num>
  <w:num w:numId="22">
    <w:abstractNumId w:val="3"/>
  </w:num>
  <w:num w:numId="23">
    <w:abstractNumId w:val="14"/>
  </w:num>
  <w:num w:numId="24">
    <w:abstractNumId w:val="21"/>
  </w:num>
  <w:num w:numId="25">
    <w:abstractNumId w:val="17"/>
  </w:num>
  <w:num w:numId="26">
    <w:abstractNumId w:val="26"/>
  </w:num>
  <w:num w:numId="27">
    <w:abstractNumId w:val="30"/>
  </w:num>
  <w:num w:numId="28">
    <w:abstractNumId w:val="16"/>
  </w:num>
  <w:num w:numId="29">
    <w:abstractNumId w:val="25"/>
  </w:num>
  <w:num w:numId="30">
    <w:abstractNumId w:val="13"/>
  </w:num>
  <w:num w:numId="31">
    <w:abstractNumId w:val="19"/>
  </w:num>
  <w:num w:numId="32">
    <w:abstractNumId w:val="18"/>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29A"/>
    <w:rsid w:val="00002677"/>
    <w:rsid w:val="000128E6"/>
    <w:rsid w:val="000130AF"/>
    <w:rsid w:val="00025BF3"/>
    <w:rsid w:val="000305C3"/>
    <w:rsid w:val="000364E0"/>
    <w:rsid w:val="0004161D"/>
    <w:rsid w:val="00047BCB"/>
    <w:rsid w:val="000526F0"/>
    <w:rsid w:val="0006322F"/>
    <w:rsid w:val="0006618D"/>
    <w:rsid w:val="00071469"/>
    <w:rsid w:val="000863D0"/>
    <w:rsid w:val="000C65EC"/>
    <w:rsid w:val="000D6094"/>
    <w:rsid w:val="000D6D4A"/>
    <w:rsid w:val="000E2392"/>
    <w:rsid w:val="000E5BD8"/>
    <w:rsid w:val="00100356"/>
    <w:rsid w:val="00100A86"/>
    <w:rsid w:val="00101F30"/>
    <w:rsid w:val="00113C22"/>
    <w:rsid w:val="0012292E"/>
    <w:rsid w:val="00141481"/>
    <w:rsid w:val="00143CC7"/>
    <w:rsid w:val="001509CB"/>
    <w:rsid w:val="00162F74"/>
    <w:rsid w:val="00176C0F"/>
    <w:rsid w:val="00180D52"/>
    <w:rsid w:val="001971AF"/>
    <w:rsid w:val="001B3D41"/>
    <w:rsid w:val="001B632D"/>
    <w:rsid w:val="001C0230"/>
    <w:rsid w:val="001F1442"/>
    <w:rsid w:val="001F1731"/>
    <w:rsid w:val="001F2C7F"/>
    <w:rsid w:val="001F68CE"/>
    <w:rsid w:val="0021043A"/>
    <w:rsid w:val="00213914"/>
    <w:rsid w:val="00214751"/>
    <w:rsid w:val="002228D9"/>
    <w:rsid w:val="00245571"/>
    <w:rsid w:val="0024617A"/>
    <w:rsid w:val="002714E0"/>
    <w:rsid w:val="00271F21"/>
    <w:rsid w:val="002740B6"/>
    <w:rsid w:val="00277535"/>
    <w:rsid w:val="002919AB"/>
    <w:rsid w:val="002920BB"/>
    <w:rsid w:val="002A097F"/>
    <w:rsid w:val="002B1783"/>
    <w:rsid w:val="002B54E8"/>
    <w:rsid w:val="002E34D2"/>
    <w:rsid w:val="002F28D3"/>
    <w:rsid w:val="002F5B77"/>
    <w:rsid w:val="002F6A4B"/>
    <w:rsid w:val="00314178"/>
    <w:rsid w:val="00320F96"/>
    <w:rsid w:val="003250CA"/>
    <w:rsid w:val="003352F6"/>
    <w:rsid w:val="00335903"/>
    <w:rsid w:val="00335BF0"/>
    <w:rsid w:val="00340424"/>
    <w:rsid w:val="00350931"/>
    <w:rsid w:val="0037725D"/>
    <w:rsid w:val="0038287E"/>
    <w:rsid w:val="003A2379"/>
    <w:rsid w:val="003B06C1"/>
    <w:rsid w:val="003B0E05"/>
    <w:rsid w:val="003E543E"/>
    <w:rsid w:val="003F32EB"/>
    <w:rsid w:val="00401B46"/>
    <w:rsid w:val="00432E28"/>
    <w:rsid w:val="00447568"/>
    <w:rsid w:val="004503AC"/>
    <w:rsid w:val="0046129A"/>
    <w:rsid w:val="0046342E"/>
    <w:rsid w:val="0046437C"/>
    <w:rsid w:val="00477740"/>
    <w:rsid w:val="00482807"/>
    <w:rsid w:val="00483AEC"/>
    <w:rsid w:val="00485D23"/>
    <w:rsid w:val="004A4968"/>
    <w:rsid w:val="004A4C37"/>
    <w:rsid w:val="004B548E"/>
    <w:rsid w:val="004D65E9"/>
    <w:rsid w:val="004F31DD"/>
    <w:rsid w:val="0050356F"/>
    <w:rsid w:val="005064AA"/>
    <w:rsid w:val="005119A0"/>
    <w:rsid w:val="005123A5"/>
    <w:rsid w:val="005145E9"/>
    <w:rsid w:val="00524781"/>
    <w:rsid w:val="00525216"/>
    <w:rsid w:val="005362D8"/>
    <w:rsid w:val="00556EA3"/>
    <w:rsid w:val="0056279B"/>
    <w:rsid w:val="005654F7"/>
    <w:rsid w:val="00567C78"/>
    <w:rsid w:val="00592239"/>
    <w:rsid w:val="005961DB"/>
    <w:rsid w:val="005A0337"/>
    <w:rsid w:val="005B6ADF"/>
    <w:rsid w:val="005E0AF7"/>
    <w:rsid w:val="005E3670"/>
    <w:rsid w:val="005E5B57"/>
    <w:rsid w:val="006003B9"/>
    <w:rsid w:val="00601E25"/>
    <w:rsid w:val="006051BD"/>
    <w:rsid w:val="00607766"/>
    <w:rsid w:val="00616302"/>
    <w:rsid w:val="00620202"/>
    <w:rsid w:val="006211F2"/>
    <w:rsid w:val="006341E3"/>
    <w:rsid w:val="00636B6C"/>
    <w:rsid w:val="00641323"/>
    <w:rsid w:val="0064736C"/>
    <w:rsid w:val="00650DD8"/>
    <w:rsid w:val="00651C07"/>
    <w:rsid w:val="0067251D"/>
    <w:rsid w:val="00684DAD"/>
    <w:rsid w:val="006A30AC"/>
    <w:rsid w:val="006B0F43"/>
    <w:rsid w:val="006C7CC5"/>
    <w:rsid w:val="006D3180"/>
    <w:rsid w:val="006E0F08"/>
    <w:rsid w:val="006E3825"/>
    <w:rsid w:val="006E6D98"/>
    <w:rsid w:val="007037C0"/>
    <w:rsid w:val="00715C65"/>
    <w:rsid w:val="00726231"/>
    <w:rsid w:val="0072625E"/>
    <w:rsid w:val="007519CB"/>
    <w:rsid w:val="00751ADD"/>
    <w:rsid w:val="00762E1B"/>
    <w:rsid w:val="007635E7"/>
    <w:rsid w:val="00792699"/>
    <w:rsid w:val="00797B59"/>
    <w:rsid w:val="007A317A"/>
    <w:rsid w:val="007A4D35"/>
    <w:rsid w:val="007B7691"/>
    <w:rsid w:val="007E75A4"/>
    <w:rsid w:val="007F387D"/>
    <w:rsid w:val="007F545D"/>
    <w:rsid w:val="00800A53"/>
    <w:rsid w:val="008422F5"/>
    <w:rsid w:val="00851AB7"/>
    <w:rsid w:val="00870D20"/>
    <w:rsid w:val="00871592"/>
    <w:rsid w:val="00873871"/>
    <w:rsid w:val="00883B6C"/>
    <w:rsid w:val="008A0AEC"/>
    <w:rsid w:val="008B7B17"/>
    <w:rsid w:val="008C5005"/>
    <w:rsid w:val="008E547F"/>
    <w:rsid w:val="008E55CF"/>
    <w:rsid w:val="008E5AAB"/>
    <w:rsid w:val="008F272E"/>
    <w:rsid w:val="008F6F34"/>
    <w:rsid w:val="00916795"/>
    <w:rsid w:val="00920A13"/>
    <w:rsid w:val="0093243D"/>
    <w:rsid w:val="00974448"/>
    <w:rsid w:val="009B1646"/>
    <w:rsid w:val="009C18D1"/>
    <w:rsid w:val="009E36CE"/>
    <w:rsid w:val="009F061B"/>
    <w:rsid w:val="00A07579"/>
    <w:rsid w:val="00A5627A"/>
    <w:rsid w:val="00A56442"/>
    <w:rsid w:val="00A60DFB"/>
    <w:rsid w:val="00A614AB"/>
    <w:rsid w:val="00A71C6E"/>
    <w:rsid w:val="00A73971"/>
    <w:rsid w:val="00A73981"/>
    <w:rsid w:val="00A85A48"/>
    <w:rsid w:val="00A86B20"/>
    <w:rsid w:val="00A95423"/>
    <w:rsid w:val="00A95C52"/>
    <w:rsid w:val="00AC1648"/>
    <w:rsid w:val="00AE04B0"/>
    <w:rsid w:val="00B510AE"/>
    <w:rsid w:val="00B5401E"/>
    <w:rsid w:val="00B606CE"/>
    <w:rsid w:val="00B61A49"/>
    <w:rsid w:val="00B72547"/>
    <w:rsid w:val="00B760A5"/>
    <w:rsid w:val="00B83804"/>
    <w:rsid w:val="00BC676F"/>
    <w:rsid w:val="00BD0995"/>
    <w:rsid w:val="00C105AC"/>
    <w:rsid w:val="00C1218A"/>
    <w:rsid w:val="00C20239"/>
    <w:rsid w:val="00C55813"/>
    <w:rsid w:val="00C5606C"/>
    <w:rsid w:val="00C74160"/>
    <w:rsid w:val="00C76617"/>
    <w:rsid w:val="00C874CC"/>
    <w:rsid w:val="00CA30DE"/>
    <w:rsid w:val="00CA44FC"/>
    <w:rsid w:val="00CC3C06"/>
    <w:rsid w:val="00CC5DE8"/>
    <w:rsid w:val="00CE7B37"/>
    <w:rsid w:val="00D011DA"/>
    <w:rsid w:val="00D0760A"/>
    <w:rsid w:val="00D11170"/>
    <w:rsid w:val="00D14DC7"/>
    <w:rsid w:val="00D3680C"/>
    <w:rsid w:val="00D607FA"/>
    <w:rsid w:val="00D66231"/>
    <w:rsid w:val="00D71AE7"/>
    <w:rsid w:val="00D7389D"/>
    <w:rsid w:val="00D87648"/>
    <w:rsid w:val="00D90068"/>
    <w:rsid w:val="00DA1F8A"/>
    <w:rsid w:val="00E23E74"/>
    <w:rsid w:val="00E25C94"/>
    <w:rsid w:val="00E32039"/>
    <w:rsid w:val="00E3493A"/>
    <w:rsid w:val="00E3742D"/>
    <w:rsid w:val="00E42095"/>
    <w:rsid w:val="00E471D4"/>
    <w:rsid w:val="00E52350"/>
    <w:rsid w:val="00E67D8A"/>
    <w:rsid w:val="00E7070E"/>
    <w:rsid w:val="00E7128A"/>
    <w:rsid w:val="00E73BC0"/>
    <w:rsid w:val="00E85C70"/>
    <w:rsid w:val="00E93463"/>
    <w:rsid w:val="00E940DE"/>
    <w:rsid w:val="00E958E2"/>
    <w:rsid w:val="00EB3794"/>
    <w:rsid w:val="00EC71DA"/>
    <w:rsid w:val="00ED163C"/>
    <w:rsid w:val="00ED2F0A"/>
    <w:rsid w:val="00EE53D6"/>
    <w:rsid w:val="00EE65CF"/>
    <w:rsid w:val="00EE7BE8"/>
    <w:rsid w:val="00EF0D02"/>
    <w:rsid w:val="00F020CC"/>
    <w:rsid w:val="00F03550"/>
    <w:rsid w:val="00F10A0F"/>
    <w:rsid w:val="00F11B5A"/>
    <w:rsid w:val="00F15F0F"/>
    <w:rsid w:val="00F1706D"/>
    <w:rsid w:val="00F23E5A"/>
    <w:rsid w:val="00F3348E"/>
    <w:rsid w:val="00F4000E"/>
    <w:rsid w:val="00F41569"/>
    <w:rsid w:val="00F42B67"/>
    <w:rsid w:val="00F43004"/>
    <w:rsid w:val="00F538F7"/>
    <w:rsid w:val="00F67C5E"/>
    <w:rsid w:val="00F7224F"/>
    <w:rsid w:val="00FB5FEA"/>
    <w:rsid w:val="00FB66D8"/>
    <w:rsid w:val="00FC3D93"/>
    <w:rsid w:val="00FE4312"/>
    <w:rsid w:val="00FE4C9B"/>
    <w:rsid w:val="00FF37F6"/>
    <w:rsid w:val="00FF71F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C90243"/>
  <w15:chartTrackingRefBased/>
  <w15:docId w15:val="{55B60634-743D-436F-B1B9-D08FCD0F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7F6"/>
    <w:pPr>
      <w:spacing w:line="276" w:lineRule="auto"/>
      <w:jc w:val="both"/>
    </w:pPr>
    <w:rPr>
      <w:sz w:val="24"/>
    </w:rPr>
  </w:style>
  <w:style w:type="paragraph" w:styleId="Ttulo1">
    <w:name w:val="heading 1"/>
    <w:basedOn w:val="Normal"/>
    <w:link w:val="Ttulo1Car"/>
    <w:uiPriority w:val="9"/>
    <w:qFormat/>
    <w:rsid w:val="0046129A"/>
    <w:pPr>
      <w:spacing w:before="100" w:beforeAutospacing="1" w:after="100" w:afterAutospacing="1" w:line="240" w:lineRule="auto"/>
      <w:outlineLvl w:val="0"/>
    </w:pPr>
    <w:rPr>
      <w:rFonts w:ascii="Times New Roman" w:eastAsia="Times New Roman" w:hAnsi="Times New Roman" w:cs="Times New Roman"/>
      <w:b/>
      <w:bCs/>
      <w:kern w:val="36"/>
      <w:sz w:val="25"/>
      <w:szCs w:val="25"/>
      <w:lang w:eastAsia="es-ES"/>
    </w:rPr>
  </w:style>
  <w:style w:type="paragraph" w:styleId="Ttulo2">
    <w:name w:val="heading 2"/>
    <w:basedOn w:val="Normal"/>
    <w:next w:val="Normal"/>
    <w:link w:val="Ttulo2Car"/>
    <w:uiPriority w:val="9"/>
    <w:unhideWhenUsed/>
    <w:qFormat/>
    <w:rsid w:val="004612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46129A"/>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129A"/>
    <w:rPr>
      <w:rFonts w:ascii="Times New Roman" w:eastAsia="Times New Roman" w:hAnsi="Times New Roman" w:cs="Times New Roman"/>
      <w:b/>
      <w:bCs/>
      <w:kern w:val="36"/>
      <w:sz w:val="25"/>
      <w:szCs w:val="25"/>
      <w:lang w:eastAsia="es-ES"/>
    </w:rPr>
  </w:style>
  <w:style w:type="character" w:styleId="Hipervnculo">
    <w:name w:val="Hyperlink"/>
    <w:basedOn w:val="Fuentedeprrafopredeter"/>
    <w:uiPriority w:val="99"/>
    <w:rsid w:val="0046129A"/>
    <w:rPr>
      <w:color w:val="0000FF"/>
      <w:u w:val="single"/>
    </w:rPr>
  </w:style>
  <w:style w:type="paragraph" w:styleId="Prrafodelista">
    <w:name w:val="List Paragraph"/>
    <w:basedOn w:val="Normal"/>
    <w:link w:val="PrrafodelistaCar"/>
    <w:uiPriority w:val="34"/>
    <w:qFormat/>
    <w:rsid w:val="0046129A"/>
    <w:pPr>
      <w:spacing w:after="200"/>
      <w:ind w:left="720"/>
      <w:contextualSpacing/>
    </w:pPr>
    <w:rPr>
      <w:rFonts w:eastAsiaTheme="minorEastAsia"/>
      <w:lang w:eastAsia="es-CR"/>
    </w:rPr>
  </w:style>
  <w:style w:type="character" w:customStyle="1" w:styleId="PrrafodelistaCar">
    <w:name w:val="Párrafo de lista Car"/>
    <w:basedOn w:val="Fuentedeprrafopredeter"/>
    <w:link w:val="Prrafodelista"/>
    <w:uiPriority w:val="34"/>
    <w:locked/>
    <w:rsid w:val="0046129A"/>
    <w:rPr>
      <w:rFonts w:eastAsiaTheme="minorEastAsia"/>
      <w:lang w:eastAsia="es-CR"/>
    </w:rPr>
  </w:style>
  <w:style w:type="table" w:customStyle="1" w:styleId="Listaclara-nfasis11">
    <w:name w:val="Lista clara - Énfasis 11"/>
    <w:basedOn w:val="Tablanormal"/>
    <w:uiPriority w:val="61"/>
    <w:rsid w:val="0046129A"/>
    <w:pPr>
      <w:spacing w:line="240" w:lineRule="auto"/>
    </w:pPr>
    <w:rPr>
      <w:rFonts w:eastAsiaTheme="minorEastAsia"/>
      <w:lang w:eastAsia="es-C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onotapie">
    <w:name w:val="footnote text"/>
    <w:basedOn w:val="Normal"/>
    <w:link w:val="TextonotapieCar"/>
    <w:unhideWhenUsed/>
    <w:rsid w:val="0046129A"/>
    <w:pPr>
      <w:spacing w:line="240" w:lineRule="auto"/>
    </w:pPr>
    <w:rPr>
      <w:rFonts w:eastAsiaTheme="minorEastAsia"/>
      <w:sz w:val="20"/>
      <w:szCs w:val="20"/>
      <w:lang w:eastAsia="es-CR"/>
    </w:rPr>
  </w:style>
  <w:style w:type="character" w:customStyle="1" w:styleId="TextonotapieCar">
    <w:name w:val="Texto nota pie Car"/>
    <w:basedOn w:val="Fuentedeprrafopredeter"/>
    <w:link w:val="Textonotapie"/>
    <w:rsid w:val="0046129A"/>
    <w:rPr>
      <w:rFonts w:eastAsiaTheme="minorEastAsia"/>
      <w:sz w:val="20"/>
      <w:szCs w:val="20"/>
      <w:lang w:eastAsia="es-CR"/>
    </w:rPr>
  </w:style>
  <w:style w:type="character" w:styleId="Refdenotaalpie">
    <w:name w:val="footnote reference"/>
    <w:basedOn w:val="Fuentedeprrafopredeter"/>
    <w:unhideWhenUsed/>
    <w:rsid w:val="0046129A"/>
    <w:rPr>
      <w:vertAlign w:val="superscript"/>
    </w:rPr>
  </w:style>
  <w:style w:type="character" w:customStyle="1" w:styleId="Ttulo2Car">
    <w:name w:val="Título 2 Car"/>
    <w:basedOn w:val="Fuentedeprrafopredeter"/>
    <w:link w:val="Ttulo2"/>
    <w:uiPriority w:val="9"/>
    <w:rsid w:val="0046129A"/>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46129A"/>
    <w:rPr>
      <w:rFonts w:asciiTheme="majorHAnsi" w:eastAsiaTheme="majorEastAsia" w:hAnsiTheme="majorHAnsi" w:cstheme="majorBidi"/>
      <w:color w:val="243F60" w:themeColor="accent1" w:themeShade="7F"/>
      <w:sz w:val="24"/>
      <w:szCs w:val="24"/>
    </w:rPr>
  </w:style>
  <w:style w:type="table" w:customStyle="1" w:styleId="Cuadrculaclara-nfasis11">
    <w:name w:val="Cuadrícula clara - Énfasis 11"/>
    <w:basedOn w:val="Tablanormal"/>
    <w:uiPriority w:val="62"/>
    <w:rsid w:val="0046129A"/>
    <w:pPr>
      <w:spacing w:line="240" w:lineRule="auto"/>
    </w:pPr>
    <w:rPr>
      <w:rFonts w:eastAsiaTheme="minorEastAsia"/>
      <w:lang w:eastAsia="es-C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46129A"/>
    <w:pPr>
      <w:spacing w:before="150" w:after="100" w:afterAutospacing="1" w:line="225" w:lineRule="atLeast"/>
      <w:ind w:left="150"/>
    </w:pPr>
    <w:rPr>
      <w:rFonts w:ascii="Arial" w:eastAsia="Times New Roman" w:hAnsi="Arial" w:cs="Arial"/>
      <w:color w:val="333333"/>
      <w:sz w:val="18"/>
      <w:szCs w:val="18"/>
      <w:lang w:eastAsia="es-ES"/>
    </w:rPr>
  </w:style>
  <w:style w:type="paragraph" w:styleId="TtuloTDC">
    <w:name w:val="TOC Heading"/>
    <w:basedOn w:val="Ttulo1"/>
    <w:next w:val="Normal"/>
    <w:uiPriority w:val="39"/>
    <w:unhideWhenUsed/>
    <w:qFormat/>
    <w:rsid w:val="0046129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s-ES" w:eastAsia="es-CR"/>
    </w:rPr>
  </w:style>
  <w:style w:type="paragraph" w:styleId="TDC1">
    <w:name w:val="toc 1"/>
    <w:basedOn w:val="Normal"/>
    <w:next w:val="Normal"/>
    <w:autoRedefine/>
    <w:uiPriority w:val="39"/>
    <w:unhideWhenUsed/>
    <w:rsid w:val="0046129A"/>
    <w:pPr>
      <w:tabs>
        <w:tab w:val="right" w:leader="dot" w:pos="8828"/>
      </w:tabs>
      <w:spacing w:after="100" w:line="240" w:lineRule="auto"/>
      <w:ind w:left="284" w:hanging="284"/>
    </w:pPr>
    <w:rPr>
      <w:rFonts w:eastAsiaTheme="minorEastAsia"/>
      <w:lang w:eastAsia="es-CR"/>
    </w:rPr>
  </w:style>
  <w:style w:type="paragraph" w:styleId="TDC3">
    <w:name w:val="toc 3"/>
    <w:basedOn w:val="Normal"/>
    <w:next w:val="Normal"/>
    <w:autoRedefine/>
    <w:uiPriority w:val="39"/>
    <w:unhideWhenUsed/>
    <w:rsid w:val="0046129A"/>
    <w:pPr>
      <w:tabs>
        <w:tab w:val="left" w:pos="880"/>
        <w:tab w:val="right" w:leader="dot" w:pos="8828"/>
      </w:tabs>
      <w:spacing w:before="120" w:after="120"/>
      <w:ind w:left="426"/>
    </w:pPr>
    <w:rPr>
      <w:rFonts w:ascii="Century Gothic" w:eastAsiaTheme="minorEastAsia" w:hAnsi="Century Gothic"/>
      <w:i/>
      <w:noProof/>
      <w:sz w:val="20"/>
      <w:lang w:eastAsia="es-CR"/>
    </w:rPr>
  </w:style>
  <w:style w:type="paragraph" w:styleId="TDC2">
    <w:name w:val="toc 2"/>
    <w:basedOn w:val="Normal"/>
    <w:next w:val="Normal"/>
    <w:autoRedefine/>
    <w:uiPriority w:val="39"/>
    <w:unhideWhenUsed/>
    <w:rsid w:val="0046129A"/>
    <w:pPr>
      <w:tabs>
        <w:tab w:val="right" w:leader="dot" w:pos="8828"/>
      </w:tabs>
      <w:spacing w:after="100"/>
      <w:ind w:left="426"/>
    </w:pPr>
    <w:rPr>
      <w:rFonts w:eastAsiaTheme="minorEastAsia"/>
      <w:lang w:eastAsia="es-CR"/>
    </w:rPr>
  </w:style>
  <w:style w:type="paragraph" w:styleId="Encabezado">
    <w:name w:val="header"/>
    <w:basedOn w:val="Normal"/>
    <w:link w:val="EncabezadoCar"/>
    <w:uiPriority w:val="99"/>
    <w:unhideWhenUsed/>
    <w:rsid w:val="008C500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C5005"/>
    <w:rPr>
      <w:sz w:val="24"/>
    </w:rPr>
  </w:style>
  <w:style w:type="paragraph" w:styleId="Piedepgina">
    <w:name w:val="footer"/>
    <w:basedOn w:val="Normal"/>
    <w:link w:val="PiedepginaCar"/>
    <w:uiPriority w:val="99"/>
    <w:unhideWhenUsed/>
    <w:rsid w:val="008C500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C5005"/>
    <w:rPr>
      <w:sz w:val="24"/>
    </w:rPr>
  </w:style>
  <w:style w:type="character" w:styleId="Textodelmarcadordeposicin">
    <w:name w:val="Placeholder Text"/>
    <w:basedOn w:val="Fuentedeprrafopredeter"/>
    <w:uiPriority w:val="99"/>
    <w:semiHidden/>
    <w:rsid w:val="006E6D98"/>
    <w:rPr>
      <w:color w:val="808080"/>
    </w:rPr>
  </w:style>
  <w:style w:type="character" w:styleId="Hipervnculovisitado">
    <w:name w:val="FollowedHyperlink"/>
    <w:basedOn w:val="Fuentedeprrafopredeter"/>
    <w:uiPriority w:val="99"/>
    <w:semiHidden/>
    <w:unhideWhenUsed/>
    <w:rsid w:val="00B760A5"/>
    <w:rPr>
      <w:color w:val="800080" w:themeColor="followedHyperlink"/>
      <w:u w:val="single"/>
    </w:rPr>
  </w:style>
  <w:style w:type="paragraph" w:styleId="Ttulo">
    <w:name w:val="Title"/>
    <w:basedOn w:val="Normal"/>
    <w:next w:val="Normal"/>
    <w:link w:val="TtuloCar"/>
    <w:uiPriority w:val="10"/>
    <w:qFormat/>
    <w:rsid w:val="005064AA"/>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064AA"/>
    <w:rPr>
      <w:rFonts w:asciiTheme="majorHAnsi" w:eastAsiaTheme="majorEastAsia" w:hAnsiTheme="majorHAnsi" w:cstheme="majorBidi"/>
      <w:spacing w:val="-10"/>
      <w:kern w:val="28"/>
      <w:sz w:val="56"/>
      <w:szCs w:val="56"/>
    </w:rPr>
  </w:style>
  <w:style w:type="table" w:styleId="Tablaconcuadrcula">
    <w:name w:val="Table Grid"/>
    <w:basedOn w:val="Tablanormal"/>
    <w:rsid w:val="001F2C7F"/>
    <w:pPr>
      <w:spacing w:line="240" w:lineRule="auto"/>
    </w:pPr>
    <w:rPr>
      <w:rFonts w:eastAsiaTheme="minorEastAsia"/>
      <w:lang w:eastAsia="es-C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5E0AF7"/>
    <w:rPr>
      <w:sz w:val="16"/>
      <w:szCs w:val="16"/>
    </w:rPr>
  </w:style>
  <w:style w:type="paragraph" w:styleId="Textocomentario">
    <w:name w:val="annotation text"/>
    <w:basedOn w:val="Normal"/>
    <w:link w:val="TextocomentarioCar"/>
    <w:uiPriority w:val="99"/>
    <w:semiHidden/>
    <w:unhideWhenUsed/>
    <w:rsid w:val="005E0A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0AF7"/>
    <w:rPr>
      <w:sz w:val="20"/>
      <w:szCs w:val="20"/>
    </w:rPr>
  </w:style>
  <w:style w:type="paragraph" w:styleId="Asuntodelcomentario">
    <w:name w:val="annotation subject"/>
    <w:basedOn w:val="Textocomentario"/>
    <w:next w:val="Textocomentario"/>
    <w:link w:val="AsuntodelcomentarioCar"/>
    <w:uiPriority w:val="99"/>
    <w:semiHidden/>
    <w:unhideWhenUsed/>
    <w:rsid w:val="005E0AF7"/>
    <w:rPr>
      <w:b/>
      <w:bCs/>
    </w:rPr>
  </w:style>
  <w:style w:type="character" w:customStyle="1" w:styleId="AsuntodelcomentarioCar">
    <w:name w:val="Asunto del comentario Car"/>
    <w:basedOn w:val="TextocomentarioCar"/>
    <w:link w:val="Asuntodelcomentario"/>
    <w:uiPriority w:val="99"/>
    <w:semiHidden/>
    <w:rsid w:val="005E0AF7"/>
    <w:rPr>
      <w:b/>
      <w:bCs/>
      <w:sz w:val="20"/>
      <w:szCs w:val="20"/>
    </w:rPr>
  </w:style>
  <w:style w:type="paragraph" w:styleId="Textodeglobo">
    <w:name w:val="Balloon Text"/>
    <w:basedOn w:val="Normal"/>
    <w:link w:val="TextodegloboCar"/>
    <w:uiPriority w:val="99"/>
    <w:semiHidden/>
    <w:unhideWhenUsed/>
    <w:rsid w:val="005E0AF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0A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420092">
      <w:bodyDiv w:val="1"/>
      <w:marLeft w:val="0"/>
      <w:marRight w:val="0"/>
      <w:marTop w:val="0"/>
      <w:marBottom w:val="0"/>
      <w:divBdr>
        <w:top w:val="none" w:sz="0" w:space="0" w:color="auto"/>
        <w:left w:val="none" w:sz="0" w:space="0" w:color="auto"/>
        <w:bottom w:val="none" w:sz="0" w:space="0" w:color="auto"/>
        <w:right w:val="none" w:sz="0" w:space="0" w:color="auto"/>
      </w:divBdr>
    </w:div>
    <w:div w:id="1520506743">
      <w:bodyDiv w:val="1"/>
      <w:marLeft w:val="0"/>
      <w:marRight w:val="0"/>
      <w:marTop w:val="0"/>
      <w:marBottom w:val="0"/>
      <w:divBdr>
        <w:top w:val="none" w:sz="0" w:space="0" w:color="auto"/>
        <w:left w:val="none" w:sz="0" w:space="0" w:color="auto"/>
        <w:bottom w:val="none" w:sz="0" w:space="0" w:color="auto"/>
        <w:right w:val="none" w:sz="0" w:space="0" w:color="auto"/>
      </w:divBdr>
    </w:div>
    <w:div w:id="1558585343">
      <w:bodyDiv w:val="1"/>
      <w:marLeft w:val="0"/>
      <w:marRight w:val="0"/>
      <w:marTop w:val="0"/>
      <w:marBottom w:val="0"/>
      <w:divBdr>
        <w:top w:val="none" w:sz="0" w:space="0" w:color="auto"/>
        <w:left w:val="none" w:sz="0" w:space="0" w:color="auto"/>
        <w:bottom w:val="none" w:sz="0" w:space="0" w:color="auto"/>
        <w:right w:val="none" w:sz="0" w:space="0" w:color="auto"/>
      </w:divBdr>
    </w:div>
    <w:div w:id="195752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gese@sugese.fi.cr" TargetMode="Externa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Excel_Worksheet1.xlsx"/><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package" Target="embeddings/Microsoft_Excel_Worksheet.xlsx"/><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package" Target="embeddings/Microsoft_Excel_Worksheet2.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echaPublicacionDocumento xmlns="b9fc4df0-8f56-46e7-b005-54afe0044df7">2021-04-21T06:00:00+00:00</FechaPublicacionDocumento>
    <TipoContenido xmlns="b9fc4df0-8f56-46e7-b005-54afe0044df7">6</TipoContenido>
    <ContenidoMultilineaHTML xmlns="b9fc4df0-8f56-46e7-b005-54afe0044df7">Se establece para el cálculo de la provisión matemática de los seguros personales en colones, conforme con el Acuerdo SGS-DES-A-029-2013 Lineamientos Generales para la Aplicación del Reglamento sobre la Solvencia de entidades de seguros y reaseguros.</ContenidoMultilineaHTM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6DB468B41833847BD57FF753FE6D287" ma:contentTypeVersion="4" ma:contentTypeDescription="Crear nuevo documento." ma:contentTypeScope="" ma:versionID="c19167ff3536ad3d4e4465772230526c">
  <xsd:schema xmlns:xsd="http://www.w3.org/2001/XMLSchema" xmlns:xs="http://www.w3.org/2001/XMLSchema" xmlns:p="http://schemas.microsoft.com/office/2006/metadata/properties" xmlns:ns2="b9fc4df0-8f56-46e7-b005-54afe0044df7" targetNamespace="http://schemas.microsoft.com/office/2006/metadata/properties" ma:root="true" ma:fieldsID="e3bbb603d8b9438a19f463937397ad00" ns2:_="">
    <xsd:import namespace="b9fc4df0-8f56-46e7-b005-54afe0044df7"/>
    <xsd:element name="properties">
      <xsd:complexType>
        <xsd:sequence>
          <xsd:element name="documentManagement">
            <xsd:complexType>
              <xsd:all>
                <xsd:element ref="ns2:ContenidoMultilineaHTML"/>
                <xsd:element ref="ns2:FechaPublicacionDocumento" minOccurs="0"/>
                <xsd:element ref="ns2:TipoContenido"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8" ma:displayName="ContenidoMultilineaHTML" ma:internalName="ContenidoMultilineaHTML">
      <xsd:simpleType>
        <xsd:restriction base="dms:Unknown"/>
      </xsd:simpleType>
    </xsd:element>
    <xsd:element name="FechaPublicacionDocumento" ma:index="9" nillable="true" ma:displayName="FechaPublicacionDocumento" ma:description="" ma:format="DateOnly" ma:internalName="FechaPublicacionDocumento">
      <xsd:simpleType>
        <xsd:restriction base="dms:DateTime"/>
      </xsd:simpleType>
    </xsd:element>
    <xsd:element name="TipoContenido" ma:index="10" nillable="true" ma:displayName="TipoContenido" ma:list="{ec55f565-d8ce-4d28-9f5f-877c6e6feccc}" ma:internalName="TipoContenido" ma:showField="Title" ma:web="b9fc4df0-8f56-46e7-b005-54afe0044df7">
      <xsd:simpleType>
        <xsd:restriction base="dms:Lookup"/>
      </xsd:simpleType>
    </xsd:element>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359E1-3087-451C-910E-1F6A2631A34A}"/>
</file>

<file path=customXml/itemProps2.xml><?xml version="1.0" encoding="utf-8"?>
<ds:datastoreItem xmlns:ds="http://schemas.openxmlformats.org/officeDocument/2006/customXml" ds:itemID="{2547F8B6-E521-41F3-9D30-2FCEA0E69655}"/>
</file>

<file path=customXml/itemProps3.xml><?xml version="1.0" encoding="utf-8"?>
<ds:datastoreItem xmlns:ds="http://schemas.openxmlformats.org/officeDocument/2006/customXml" ds:itemID="{6211C1FA-A4E0-41C9-AEA3-8E927D2BA54E}"/>
</file>

<file path=customXml/itemProps4.xml><?xml version="1.0" encoding="utf-8"?>
<ds:datastoreItem xmlns:ds="http://schemas.openxmlformats.org/officeDocument/2006/customXml" ds:itemID="{10BD6351-67EA-4E83-B495-C0C00464D8B7}"/>
</file>

<file path=docProps/app.xml><?xml version="1.0" encoding="utf-8"?>
<Properties xmlns="http://schemas.openxmlformats.org/officeDocument/2006/extended-properties" xmlns:vt="http://schemas.openxmlformats.org/officeDocument/2006/docPropsVTypes">
  <Template>Normal.dotm</Template>
  <TotalTime>1</TotalTime>
  <Pages>10</Pages>
  <Words>1918</Words>
  <Characters>10552</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Nombre de la entidad</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Metodológica Cálculo Curva Interés Técnico 2020</dc:title>
  <dc:subject/>
  <dc:creator>CHACON ARG�ELLO GINA</dc:creator>
  <cp:keywords/>
  <dc:description/>
  <cp:lastModifiedBy>CHACON ARGÜELLO GINA</cp:lastModifiedBy>
  <cp:revision>2</cp:revision>
  <dcterms:created xsi:type="dcterms:W3CDTF">2021-04-19T21:44:00Z</dcterms:created>
  <dcterms:modified xsi:type="dcterms:W3CDTF">2021-04-19T21:44:00Z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0x010100A6DB468B41833847BD57FF753FE6D287</vt:lpwstr>
  </property>
</Properties>
</file>